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AA6" w14:textId="2D1625B7" w:rsidR="00D175D0" w:rsidRPr="00D175D0" w:rsidRDefault="0068247D" w:rsidP="75D50780">
      <w:pPr>
        <w:pStyle w:val="TableParagraph"/>
        <w:spacing w:after="0" w:line="276" w:lineRule="auto"/>
        <w:jc w:val="center"/>
        <w:rPr>
          <w:rFonts w:ascii="Avenir Next LT Pro" w:hAnsi="Avenir Next LT Pro" w:cs="Browallia New"/>
          <w:b/>
          <w:bCs/>
          <w:sz w:val="36"/>
          <w:szCs w:val="36"/>
        </w:rPr>
      </w:pPr>
      <w:r>
        <w:rPr>
          <w:rFonts w:ascii="Avenir Next LT Pro" w:hAnsi="Avenir Next LT Pro" w:cs="Browallia New"/>
          <w:b/>
          <w:bCs/>
          <w:sz w:val="36"/>
          <w:szCs w:val="36"/>
        </w:rPr>
        <w:t>VEDLEGG TIL RAPPORTSKJEMA</w:t>
      </w:r>
    </w:p>
    <w:p w14:paraId="1305EB41" w14:textId="419E8384" w:rsidR="00D175D0" w:rsidRDefault="10812BA7" w:rsidP="75D50780">
      <w:pPr>
        <w:spacing w:after="0" w:line="276" w:lineRule="auto"/>
        <w:jc w:val="center"/>
        <w:rPr>
          <w:rFonts w:ascii="Avenir Next LT Pro" w:hAnsi="Avenir Next LT Pro" w:cs="Browallia New"/>
          <w:b/>
          <w:bCs/>
          <w:sz w:val="20"/>
          <w:szCs w:val="20"/>
        </w:rPr>
      </w:pPr>
      <w:r w:rsidRPr="13F46A16">
        <w:rPr>
          <w:rFonts w:ascii="Avenir Next LT Pro" w:hAnsi="Avenir Next LT Pro" w:cs="Browallia New"/>
          <w:b/>
          <w:bCs/>
          <w:sz w:val="20"/>
          <w:szCs w:val="20"/>
        </w:rPr>
        <w:t>Driftstilskudd til bruker- og pårørende</w:t>
      </w:r>
      <w:r w:rsidR="2FF39E22" w:rsidRPr="13F46A16">
        <w:rPr>
          <w:rFonts w:ascii="Avenir Next LT Pro" w:hAnsi="Avenir Next LT Pro" w:cs="Browallia New"/>
          <w:b/>
          <w:bCs/>
          <w:sz w:val="20"/>
          <w:szCs w:val="20"/>
        </w:rPr>
        <w:t>organisasjoner</w:t>
      </w:r>
      <w:r w:rsidRPr="13F46A16">
        <w:rPr>
          <w:rFonts w:ascii="Avenir Next LT Pro" w:hAnsi="Avenir Next LT Pro" w:cs="Browallia New"/>
          <w:b/>
          <w:bCs/>
          <w:sz w:val="20"/>
          <w:szCs w:val="20"/>
        </w:rPr>
        <w:t xml:space="preserve"> innen psykisk helse-, rus- og voldsfeltet</w:t>
      </w:r>
    </w:p>
    <w:p w14:paraId="2EB0FF1B" w14:textId="5FB2D62D" w:rsidR="00D175D0" w:rsidRDefault="00D175D0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6ACF7594" w14:textId="33DEAAEC" w:rsidR="00822DC7" w:rsidRDefault="00822DC7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004FF8D4" w14:textId="20624685" w:rsidR="00822DC7" w:rsidRPr="00DE0B92" w:rsidRDefault="00822DC7" w:rsidP="75D50780">
      <w:pPr>
        <w:pStyle w:val="TableParagraph"/>
        <w:spacing w:after="0" w:line="276" w:lineRule="auto"/>
        <w:rPr>
          <w:rFonts w:ascii="Avenir Next LT Pro" w:hAnsi="Avenir Next LT Pro" w:cs="Browallia New"/>
          <w:color w:val="FF0000"/>
          <w:sz w:val="20"/>
          <w:szCs w:val="20"/>
        </w:rPr>
      </w:pPr>
      <w:r w:rsidRPr="00DE0B92">
        <w:rPr>
          <w:rFonts w:ascii="Avenir Next LT Pro" w:hAnsi="Avenir Next LT Pro" w:cs="Browallia New"/>
          <w:color w:val="FF0000"/>
          <w:sz w:val="20"/>
          <w:szCs w:val="20"/>
        </w:rPr>
        <w:t xml:space="preserve">Dette vedlegget skal fylles ut og lastes opp sammen med rapportskjemaet i </w:t>
      </w:r>
      <w:proofErr w:type="spellStart"/>
      <w:r w:rsidRPr="00DE0B92">
        <w:rPr>
          <w:rFonts w:ascii="Avenir Next LT Pro" w:hAnsi="Avenir Next LT Pro" w:cs="Browallia New"/>
          <w:color w:val="FF0000"/>
          <w:sz w:val="20"/>
          <w:szCs w:val="20"/>
        </w:rPr>
        <w:t>Altinn</w:t>
      </w:r>
      <w:proofErr w:type="spellEnd"/>
      <w:r w:rsidRPr="00DE0B92">
        <w:rPr>
          <w:rFonts w:ascii="Avenir Next LT Pro" w:hAnsi="Avenir Next LT Pro" w:cs="Browallia New"/>
          <w:color w:val="FF0000"/>
          <w:sz w:val="20"/>
          <w:szCs w:val="20"/>
        </w:rPr>
        <w:t>.</w:t>
      </w:r>
    </w:p>
    <w:p w14:paraId="75381BC7" w14:textId="048E9BBB" w:rsidR="00822DC7" w:rsidRDefault="00822DC7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402C8D5A" w14:textId="3EDA41E3" w:rsidR="00257F18" w:rsidRDefault="00822DC7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  <w:r>
        <w:rPr>
          <w:rFonts w:ascii="Avenir Next LT Pro" w:hAnsi="Avenir Next LT Pro" w:cs="Browallia New"/>
          <w:sz w:val="20"/>
          <w:szCs w:val="20"/>
        </w:rPr>
        <w:t xml:space="preserve">Under </w:t>
      </w:r>
      <w:r w:rsidRPr="00DE0B92">
        <w:rPr>
          <w:rFonts w:ascii="Avenir Next LT Pro" w:hAnsi="Avenir Next LT Pro" w:cs="Browallia New"/>
          <w:b/>
          <w:bCs/>
          <w:sz w:val="20"/>
          <w:szCs w:val="20"/>
        </w:rPr>
        <w:t>Måltall i søknaden</w:t>
      </w:r>
      <w:r>
        <w:rPr>
          <w:rFonts w:ascii="Avenir Next LT Pro" w:hAnsi="Avenir Next LT Pro" w:cs="Browallia New"/>
          <w:sz w:val="20"/>
          <w:szCs w:val="20"/>
        </w:rPr>
        <w:t xml:space="preserve"> skal dere fylle inn måltallet dere førte opp i søknaden. Under </w:t>
      </w:r>
      <w:r w:rsidRPr="007063A3">
        <w:rPr>
          <w:rFonts w:ascii="Avenir Next LT Pro" w:hAnsi="Avenir Next LT Pro" w:cs="Browallia New"/>
          <w:b/>
          <w:bCs/>
          <w:sz w:val="20"/>
          <w:szCs w:val="20"/>
        </w:rPr>
        <w:t>Resultat</w:t>
      </w:r>
      <w:r w:rsidR="00C16435">
        <w:rPr>
          <w:rFonts w:ascii="Avenir Next LT Pro" w:hAnsi="Avenir Next LT Pro" w:cs="Browallia New"/>
          <w:b/>
          <w:bCs/>
          <w:sz w:val="20"/>
          <w:szCs w:val="20"/>
        </w:rPr>
        <w:t xml:space="preserve"> per 31.12.2023</w:t>
      </w:r>
      <w:r>
        <w:rPr>
          <w:rFonts w:ascii="Avenir Next LT Pro" w:hAnsi="Avenir Next LT Pro" w:cs="Browallia New"/>
          <w:sz w:val="20"/>
          <w:szCs w:val="20"/>
        </w:rPr>
        <w:t xml:space="preserve"> skal dere føre </w:t>
      </w:r>
      <w:r w:rsidR="007063A3">
        <w:rPr>
          <w:rFonts w:ascii="Avenir Next LT Pro" w:hAnsi="Avenir Next LT Pro" w:cs="Browallia New"/>
          <w:sz w:val="20"/>
          <w:szCs w:val="20"/>
        </w:rPr>
        <w:t>opp resultate</w:t>
      </w:r>
      <w:r w:rsidR="00C16435">
        <w:rPr>
          <w:rFonts w:ascii="Avenir Next LT Pro" w:hAnsi="Avenir Next LT Pro" w:cs="Browallia New"/>
          <w:sz w:val="20"/>
          <w:szCs w:val="20"/>
        </w:rPr>
        <w:t xml:space="preserve">t ved utgangen av året slik </w:t>
      </w:r>
      <w:r w:rsidR="007063A3">
        <w:rPr>
          <w:rFonts w:ascii="Avenir Next LT Pro" w:hAnsi="Avenir Next LT Pro" w:cs="Browallia New"/>
          <w:sz w:val="20"/>
          <w:szCs w:val="20"/>
        </w:rPr>
        <w:t>at dette kan sammenlignes med måltallet dere førte opp i søknaden.</w:t>
      </w:r>
      <w:r w:rsidR="00E223E3">
        <w:rPr>
          <w:rFonts w:ascii="Avenir Next LT Pro" w:hAnsi="Avenir Next LT Pro" w:cs="Browallia New"/>
          <w:sz w:val="20"/>
          <w:szCs w:val="20"/>
        </w:rPr>
        <w:t xml:space="preserve"> Dere kan også knytte en kommentar til resultatet ved behov.</w:t>
      </w:r>
    </w:p>
    <w:p w14:paraId="53B5FAE4" w14:textId="77777777" w:rsidR="00257F18" w:rsidRDefault="00257F18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6DF900EA" w14:textId="08377CA8" w:rsidR="00822DC7" w:rsidRPr="007063A3" w:rsidRDefault="007063A3" w:rsidP="75D50780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  <w:r w:rsidRPr="007063A3">
        <w:rPr>
          <w:rFonts w:ascii="Avenir Next LT Pro" w:hAnsi="Avenir Next LT Pro" w:cs="Browallia New"/>
          <w:i/>
          <w:iCs/>
          <w:sz w:val="20"/>
          <w:szCs w:val="20"/>
        </w:rPr>
        <w:t xml:space="preserve">Eksempelvis hvis dere førte opp "6" som måltall til resultatmål 1.1 (antall råd, utvalg og formelle arbeidsgrupper dere deltok i), </w:t>
      </w:r>
      <w:r>
        <w:rPr>
          <w:rFonts w:ascii="Avenir Next LT Pro" w:hAnsi="Avenir Next LT Pro" w:cs="Browallia New"/>
          <w:i/>
          <w:iCs/>
          <w:sz w:val="20"/>
          <w:szCs w:val="20"/>
        </w:rPr>
        <w:t>og hvor det</w:t>
      </w:r>
      <w:r w:rsidRPr="007063A3">
        <w:rPr>
          <w:rFonts w:ascii="Avenir Next LT Pro" w:hAnsi="Avenir Next LT Pro" w:cs="Browallia New"/>
          <w:i/>
          <w:iCs/>
          <w:sz w:val="20"/>
          <w:szCs w:val="20"/>
        </w:rPr>
        <w:t xml:space="preserve"> på slutten av året viste seg at dere deltok i totalt 4 råd, utvalg eller formelle arbeidsgrupper, </w:t>
      </w:r>
      <w:r>
        <w:rPr>
          <w:rFonts w:ascii="Avenir Next LT Pro" w:hAnsi="Avenir Next LT Pro" w:cs="Browallia New"/>
          <w:i/>
          <w:iCs/>
          <w:sz w:val="20"/>
          <w:szCs w:val="20"/>
        </w:rPr>
        <w:t>så betyr det at dere skal føre</w:t>
      </w:r>
      <w:r w:rsidRPr="007063A3">
        <w:rPr>
          <w:rFonts w:ascii="Avenir Next LT Pro" w:hAnsi="Avenir Next LT Pro" w:cs="Browallia New"/>
          <w:i/>
          <w:iCs/>
          <w:sz w:val="20"/>
          <w:szCs w:val="20"/>
        </w:rPr>
        <w:t xml:space="preserve"> opp "4" som resultat.</w:t>
      </w:r>
    </w:p>
    <w:p w14:paraId="4D8B8700" w14:textId="5ADAAE5D" w:rsidR="00655897" w:rsidRDefault="00655897" w:rsidP="008950C9">
      <w:pPr>
        <w:pStyle w:val="TableParagraph"/>
        <w:spacing w:after="0" w:line="276" w:lineRule="auto"/>
        <w:rPr>
          <w:rFonts w:ascii="Avenir Next LT Pro" w:hAnsi="Avenir Next LT Pro" w:cstheme="minorHAnsi"/>
          <w:sz w:val="20"/>
          <w:szCs w:val="20"/>
        </w:rPr>
      </w:pPr>
    </w:p>
    <w:p w14:paraId="126016B5" w14:textId="77777777" w:rsidR="00BC7D36" w:rsidRPr="00C602BE" w:rsidRDefault="00BC7D36" w:rsidP="008950C9">
      <w:pPr>
        <w:pStyle w:val="TableParagraph"/>
        <w:spacing w:after="0" w:line="276" w:lineRule="auto"/>
        <w:rPr>
          <w:rFonts w:ascii="Avenir Next LT Pro" w:hAnsi="Avenir Next LT Pro" w:cstheme="minorHAnsi"/>
          <w:sz w:val="20"/>
          <w:szCs w:val="20"/>
        </w:rPr>
      </w:pPr>
    </w:p>
    <w:tbl>
      <w:tblPr>
        <w:tblStyle w:val="Tabellrutenett"/>
        <w:tblW w:w="13992" w:type="dxa"/>
        <w:tblLook w:val="04A0" w:firstRow="1" w:lastRow="0" w:firstColumn="1" w:lastColumn="0" w:noHBand="0" w:noVBand="1"/>
      </w:tblPr>
      <w:tblGrid>
        <w:gridCol w:w="1413"/>
        <w:gridCol w:w="3066"/>
        <w:gridCol w:w="2978"/>
        <w:gridCol w:w="1456"/>
        <w:gridCol w:w="1601"/>
        <w:gridCol w:w="3478"/>
      </w:tblGrid>
      <w:tr w:rsidR="0068247D" w:rsidRPr="00EE0400" w14:paraId="4CDD7030" w14:textId="77777777" w:rsidTr="0068247D">
        <w:tc>
          <w:tcPr>
            <w:tcW w:w="1414" w:type="dxa"/>
            <w:shd w:val="clear" w:color="auto" w:fill="DEEAF6" w:themeFill="accent5" w:themeFillTint="33"/>
          </w:tcPr>
          <w:p w14:paraId="345AC743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Resultat nr.</w:t>
            </w:r>
          </w:p>
        </w:tc>
        <w:tc>
          <w:tcPr>
            <w:tcW w:w="3072" w:type="dxa"/>
            <w:shd w:val="clear" w:color="auto" w:fill="DEEAF6" w:themeFill="accent5" w:themeFillTint="33"/>
          </w:tcPr>
          <w:p w14:paraId="199B125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Planlagt resultat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6D1B1B2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  <w:lang w:val="nb-NO"/>
              </w:rPr>
              <w:t>Kriterium for måloppnåelse (indikator)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43EE4E16" w14:textId="69EBEAD4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Måltall</w:t>
            </w:r>
            <w:proofErr w:type="spellEnd"/>
            <w:r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søknaden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</w:tcPr>
          <w:p w14:paraId="4C89F892" w14:textId="4409D510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R</w:t>
            </w:r>
            <w:r w:rsidR="00822DC7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esultat</w:t>
            </w:r>
            <w:proofErr w:type="spellEnd"/>
            <w:r w:rsidR="0079127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 xml:space="preserve"> per 31.12.2023</w:t>
            </w:r>
          </w:p>
        </w:tc>
        <w:tc>
          <w:tcPr>
            <w:tcW w:w="3507" w:type="dxa"/>
            <w:shd w:val="clear" w:color="auto" w:fill="DEEAF6" w:themeFill="accent5" w:themeFillTint="33"/>
          </w:tcPr>
          <w:p w14:paraId="2836796F" w14:textId="2C08113C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proofErr w:type="spellStart"/>
            <w:r w:rsidRPr="003645D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Kommentar</w:t>
            </w:r>
            <w:proofErr w:type="spellEnd"/>
          </w:p>
        </w:tc>
      </w:tr>
      <w:tr w:rsidR="0068247D" w:rsidRPr="00EE0400" w14:paraId="7D3AA3D9" w14:textId="77777777" w:rsidTr="0068247D">
        <w:trPr>
          <w:trHeight w:val="606"/>
        </w:trPr>
        <w:tc>
          <w:tcPr>
            <w:tcW w:w="1414" w:type="dxa"/>
            <w:shd w:val="clear" w:color="auto" w:fill="DEEAF6" w:themeFill="accent5" w:themeFillTint="33"/>
          </w:tcPr>
          <w:p w14:paraId="6625CB9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1</w:t>
            </w:r>
          </w:p>
          <w:p w14:paraId="5301084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shd w:val="clear" w:color="auto" w:fill="DEEAF6" w:themeFill="accent5" w:themeFillTint="33"/>
          </w:tcPr>
          <w:p w14:paraId="69A72EC8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Bruker- og pårørendekunnskap blir forstått og brukt som et likeverdig kunnskapsområde på systemnivå og politisk nivå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4DBAA830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0CD32B1B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1DF2EF76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  <w:shd w:val="clear" w:color="auto" w:fill="DEEAF6" w:themeFill="accent5" w:themeFillTint="33"/>
          </w:tcPr>
          <w:p w14:paraId="1C297357" w14:textId="6411E7B5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68247D" w:rsidRPr="00EE0400" w14:paraId="10F0C24F" w14:textId="77777777" w:rsidTr="00810AF6">
        <w:trPr>
          <w:trHeight w:val="2040"/>
        </w:trPr>
        <w:tc>
          <w:tcPr>
            <w:tcW w:w="1414" w:type="dxa"/>
            <w:shd w:val="clear" w:color="auto" w:fill="DEEAF6" w:themeFill="accent5" w:themeFillTint="33"/>
          </w:tcPr>
          <w:p w14:paraId="4DACB47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1.1</w:t>
            </w:r>
          </w:p>
        </w:tc>
        <w:tc>
          <w:tcPr>
            <w:tcW w:w="3072" w:type="dxa"/>
            <w:shd w:val="clear" w:color="auto" w:fill="DEEAF6" w:themeFill="accent5" w:themeFillTint="33"/>
          </w:tcPr>
          <w:p w14:paraId="75942426" w14:textId="3547F1DB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Bruker- og pårørendeperspektivet er fremmet i relevante fora og prosesser på systemnivå og politisk nivå.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4F3BCDB9" w14:textId="164EBA5C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råd, utvalg og formelle arbeidsgrupper bruker- og pårørende organisasjonene har deltatt i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44501F3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27983A5E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50CAD8EC" w14:textId="0BD93A24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68247D" w:rsidRPr="00EE0400" w14:paraId="72EA946A" w14:textId="77777777" w:rsidTr="00810AF6">
        <w:trPr>
          <w:trHeight w:val="2408"/>
        </w:trPr>
        <w:tc>
          <w:tcPr>
            <w:tcW w:w="1414" w:type="dxa"/>
            <w:shd w:val="clear" w:color="auto" w:fill="DEEAF6" w:themeFill="accent5" w:themeFillTint="33"/>
          </w:tcPr>
          <w:p w14:paraId="7F5B0BBD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lastRenderedPageBreak/>
              <w:t xml:space="preserve"> Effektmål 2</w:t>
            </w:r>
          </w:p>
        </w:tc>
        <w:tc>
          <w:tcPr>
            <w:tcW w:w="3072" w:type="dxa"/>
            <w:shd w:val="clear" w:color="auto" w:fill="DEEAF6" w:themeFill="accent5" w:themeFillTint="33"/>
          </w:tcPr>
          <w:p w14:paraId="62DE56F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Bruker- og pårørendekunnskap blir forstått og brukt som et likeverdig kunnskapsområde i tjenesteutvikling og gjennomføring på tjenestenivå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06BAD43E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486CFCD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B4134C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  <w:shd w:val="clear" w:color="auto" w:fill="DEEAF6" w:themeFill="accent5" w:themeFillTint="33"/>
          </w:tcPr>
          <w:p w14:paraId="182C3499" w14:textId="1603DFF9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68247D" w:rsidRPr="00EE0400" w14:paraId="31E1DE4B" w14:textId="77777777" w:rsidTr="0068247D">
        <w:trPr>
          <w:trHeight w:val="637"/>
        </w:trPr>
        <w:tc>
          <w:tcPr>
            <w:tcW w:w="1414" w:type="dxa"/>
            <w:vMerge w:val="restart"/>
            <w:shd w:val="clear" w:color="auto" w:fill="DEEAF6" w:themeFill="accent5" w:themeFillTint="33"/>
          </w:tcPr>
          <w:p w14:paraId="2C4CA79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2.1</w:t>
            </w:r>
          </w:p>
          <w:p w14:paraId="13C6E451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031A65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3072" w:type="dxa"/>
            <w:vMerge w:val="restart"/>
            <w:shd w:val="clear" w:color="auto" w:fill="DEEAF6" w:themeFill="accent5" w:themeFillTint="33"/>
          </w:tcPr>
          <w:p w14:paraId="1BC6D97B" w14:textId="489588D5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color w:val="000000" w:themeColor="text1"/>
                <w:sz w:val="20"/>
                <w:szCs w:val="20"/>
                <w:lang w:val="nb-NO"/>
              </w:rPr>
              <w:t>Økt brukermedvirkning i utformingen av tilbud og tjenester til mennesker med psykiske helseutfordringer, rusmiddelproblemer og voldsutfordringer</w:t>
            </w:r>
            <w:r>
              <w:rPr>
                <w:rFonts w:ascii="Avenir Next LT Pro" w:hAnsi="Avenir Next LT Pro" w:cs="Times New Roman"/>
                <w:color w:val="000000" w:themeColor="text1"/>
                <w:sz w:val="20"/>
                <w:szCs w:val="20"/>
                <w:lang w:val="nb-NO"/>
              </w:rPr>
              <w:t>.</w:t>
            </w:r>
          </w:p>
          <w:p w14:paraId="36920BE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2982" w:type="dxa"/>
            <w:shd w:val="clear" w:color="auto" w:fill="DEEAF6" w:themeFill="accent5" w:themeFillTint="33"/>
          </w:tcPr>
          <w:p w14:paraId="1BDFEDBF" w14:textId="2BAF2C3F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unike bruker- og pårørenderepresentanter som har deltatt i utformingen av nye tilbud og tjenester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78B074C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0BFFB17D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247CDF92" w14:textId="70551B28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5999F7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18726E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8ECCFED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FF186A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FC84A9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68247D" w:rsidRPr="00EE0400" w14:paraId="4765CD21" w14:textId="77777777" w:rsidTr="0068247D">
        <w:trPr>
          <w:trHeight w:val="569"/>
        </w:trPr>
        <w:tc>
          <w:tcPr>
            <w:tcW w:w="1414" w:type="dxa"/>
            <w:vMerge/>
          </w:tcPr>
          <w:p w14:paraId="4119A482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vMerge/>
          </w:tcPr>
          <w:p w14:paraId="0FC8F11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2982" w:type="dxa"/>
            <w:shd w:val="clear" w:color="auto" w:fill="DEEAF6" w:themeFill="accent5" w:themeFillTint="33"/>
          </w:tcPr>
          <w:p w14:paraId="2AD59503" w14:textId="22B630C9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brukerråd, utvalg og arbeidsgrupper bruker- og pårørenderepresentantene har deltatt i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5EC25A8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6228B071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611796A0" w14:textId="6B48C7DF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0FA710F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2D02CB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750EB70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664D193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4C8D37B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68247D" w:rsidRPr="00EE0400" w14:paraId="5582C780" w14:textId="77777777" w:rsidTr="0068247D">
        <w:trPr>
          <w:trHeight w:val="952"/>
        </w:trPr>
        <w:tc>
          <w:tcPr>
            <w:tcW w:w="1414" w:type="dxa"/>
            <w:shd w:val="clear" w:color="auto" w:fill="DEEAF6" w:themeFill="accent5" w:themeFillTint="33"/>
          </w:tcPr>
          <w:p w14:paraId="277B54B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2.2</w:t>
            </w:r>
          </w:p>
          <w:p w14:paraId="416DAF4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shd w:val="clear" w:color="auto" w:fill="DEEAF6" w:themeFill="accent5" w:themeFillTint="33"/>
          </w:tcPr>
          <w:p w14:paraId="27E9CC26" w14:textId="427A42DF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Kompetanseheving om bruker- og pårørendeperspektiv gjennomført hos helse- og omsorgstjenestene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4F499EBA" w14:textId="67643329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kompetansehevingstiltak* avholdt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565B2601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31F38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3507" w:type="dxa"/>
          </w:tcPr>
          <w:p w14:paraId="01CDC571" w14:textId="4E05D7C2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4E1C21B1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8457280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0B4651E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3C09D4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  <w:p w14:paraId="2F5E738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68247D" w:rsidRPr="00EE0400" w14:paraId="21DF39DD" w14:textId="77777777" w:rsidTr="0068247D">
        <w:trPr>
          <w:trHeight w:val="299"/>
        </w:trPr>
        <w:tc>
          <w:tcPr>
            <w:tcW w:w="1414" w:type="dxa"/>
            <w:shd w:val="clear" w:color="auto" w:fill="DEEAF6" w:themeFill="accent5" w:themeFillTint="33"/>
          </w:tcPr>
          <w:p w14:paraId="152C61F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3</w:t>
            </w:r>
          </w:p>
          <w:p w14:paraId="62B6890F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i/>
                <w:iCs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shd w:val="clear" w:color="auto" w:fill="DEEAF6" w:themeFill="accent5" w:themeFillTint="33"/>
          </w:tcPr>
          <w:p w14:paraId="0FB4DFDD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Bruker- og pårørenderepresentanter som har fått tilfredsstillende opplæring og oppfølging, er tilgjengelige for deltakelse i </w:t>
            </w: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lastRenderedPageBreak/>
              <w:t>relevante prosesser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28FCEBD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lastRenderedPageBreak/>
              <w:t>Rapporteres kvalitativt (se regelverkets punkt 7)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09F066AF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7790B98" w14:textId="77777777" w:rsidR="0068247D" w:rsidRPr="0068247D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  <w:shd w:val="clear" w:color="auto" w:fill="DEEAF6" w:themeFill="accent5" w:themeFillTint="33"/>
          </w:tcPr>
          <w:p w14:paraId="669FF74D" w14:textId="314176D8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68247D" w:rsidRPr="00EE0400" w14:paraId="506A51AF" w14:textId="77777777" w:rsidTr="00810AF6">
        <w:trPr>
          <w:trHeight w:val="2050"/>
        </w:trPr>
        <w:tc>
          <w:tcPr>
            <w:tcW w:w="1414" w:type="dxa"/>
            <w:vMerge w:val="restart"/>
            <w:shd w:val="clear" w:color="auto" w:fill="DEEAF6" w:themeFill="accent5" w:themeFillTint="33"/>
          </w:tcPr>
          <w:p w14:paraId="0BBB948D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3.1</w:t>
            </w:r>
          </w:p>
          <w:p w14:paraId="363EA0B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vMerge w:val="restart"/>
            <w:shd w:val="clear" w:color="auto" w:fill="DEEAF6" w:themeFill="accent5" w:themeFillTint="33"/>
          </w:tcPr>
          <w:p w14:paraId="1BA86EDD" w14:textId="272D776C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7644CDFB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Aktive bruker- og pårørenderepresentanter</w:t>
            </w:r>
            <w:r w:rsidR="00690CB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27B1DAB8" w14:textId="164B3371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bruker- og pårørenderepresentanter organisasjonen har i dag</w:t>
            </w:r>
            <w:r w:rsidR="00690CB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6D2094CA" w14:textId="77777777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5FFB3D89" w14:textId="77777777" w:rsidR="0068247D" w:rsidRPr="00690CB1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15F90252" w14:textId="39BE98DE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0CDABDDD" w14:textId="77777777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3EB271FF" w14:textId="77777777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5ECC0BA4" w14:textId="77777777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  <w:p w14:paraId="54E781C5" w14:textId="77777777" w:rsidR="0068247D" w:rsidRPr="003645D0" w:rsidRDefault="0068247D" w:rsidP="008950C9">
            <w:pPr>
              <w:spacing w:after="0" w:line="276" w:lineRule="auto"/>
              <w:rPr>
                <w:rFonts w:ascii="Segoe UI" w:eastAsia="Segoe UI" w:hAnsi="Segoe UI" w:cs="Segoe UI"/>
                <w:color w:val="323130"/>
                <w:sz w:val="20"/>
                <w:szCs w:val="20"/>
                <w:lang w:val="nb-NO"/>
              </w:rPr>
            </w:pPr>
          </w:p>
        </w:tc>
      </w:tr>
      <w:tr w:rsidR="0068247D" w:rsidRPr="00EE0400" w14:paraId="6243873C" w14:textId="77777777" w:rsidTr="0068247D">
        <w:trPr>
          <w:trHeight w:val="277"/>
        </w:trPr>
        <w:tc>
          <w:tcPr>
            <w:tcW w:w="1414" w:type="dxa"/>
            <w:vMerge/>
          </w:tcPr>
          <w:p w14:paraId="19CC8EB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vMerge/>
          </w:tcPr>
          <w:p w14:paraId="578C3B7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2982" w:type="dxa"/>
            <w:shd w:val="clear" w:color="auto" w:fill="DEEAF6" w:themeFill="accent5" w:themeFillTint="33"/>
          </w:tcPr>
          <w:p w14:paraId="39D2A338" w14:textId="5E013B48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nye bruker- og pårørenderepresentanter rekruttert</w:t>
            </w:r>
            <w:r w:rsidR="00690CB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60CC646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47B1006D" w14:textId="77777777" w:rsidR="0068247D" w:rsidRPr="00690CB1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1C347AB8" w14:textId="44749626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4549A4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CAF1019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309706A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C2A6A79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68247D" w:rsidRPr="00EE0400" w14:paraId="0149D698" w14:textId="77777777" w:rsidTr="0068247D">
        <w:trPr>
          <w:trHeight w:val="577"/>
        </w:trPr>
        <w:tc>
          <w:tcPr>
            <w:tcW w:w="1414" w:type="dxa"/>
            <w:vMerge/>
          </w:tcPr>
          <w:p w14:paraId="53A7FC7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vMerge/>
          </w:tcPr>
          <w:p w14:paraId="6E8E0C4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2982" w:type="dxa"/>
            <w:shd w:val="clear" w:color="auto" w:fill="DEEAF6" w:themeFill="accent5" w:themeFillTint="33"/>
          </w:tcPr>
          <w:p w14:paraId="5A798A22" w14:textId="704C3310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bruker- og pårørenderepresentanter som har gjennomført kompetansehevingstiltak*</w:t>
            </w:r>
            <w:r w:rsidR="00690CB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03B516E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433A0FE0" w14:textId="77777777" w:rsidR="0068247D" w:rsidRPr="00690CB1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553BE8D1" w14:textId="6C6A4085" w:rsidR="0068247D" w:rsidRPr="003645D0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765F7868" w14:textId="77777777" w:rsidR="0068247D" w:rsidRPr="003645D0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79B2FDB" w14:textId="77777777" w:rsidR="0068247D" w:rsidRPr="003645D0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787CAFD" w14:textId="77777777" w:rsidR="0068247D" w:rsidRPr="003645D0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F830B01" w14:textId="77777777" w:rsidR="0068247D" w:rsidRPr="003645D0" w:rsidRDefault="0068247D" w:rsidP="008950C9">
            <w:pPr>
              <w:spacing w:after="0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68247D" w:rsidRPr="00EE0400" w14:paraId="76F0C17B" w14:textId="77777777" w:rsidTr="0068247D">
        <w:trPr>
          <w:trHeight w:val="782"/>
        </w:trPr>
        <w:tc>
          <w:tcPr>
            <w:tcW w:w="1414" w:type="dxa"/>
            <w:shd w:val="clear" w:color="auto" w:fill="DEEAF6" w:themeFill="accent5" w:themeFillTint="33"/>
          </w:tcPr>
          <w:p w14:paraId="08BA45A9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 xml:space="preserve"> Effektmål 4</w:t>
            </w:r>
          </w:p>
          <w:p w14:paraId="6D0F1FF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shd w:val="clear" w:color="auto" w:fill="DEEAF6" w:themeFill="accent5" w:themeFillTint="33"/>
          </w:tcPr>
          <w:p w14:paraId="784A153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Kunnskap om bruker- og pårørendemedvirkning er formidlet til brukere og pårørende som ikke er bruker- og pårørenderepresentanter og allmenheten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4D1CD657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  <w:t>Rapporteres kvalitativt (se regelverkets punkt 7)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6657AF14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29CD6C3" w14:textId="77777777" w:rsidR="0068247D" w:rsidRPr="0079127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  <w:shd w:val="clear" w:color="auto" w:fill="DEEAF6" w:themeFill="accent5" w:themeFillTint="33"/>
          </w:tcPr>
          <w:p w14:paraId="4CE48C8C" w14:textId="257FCB09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b/>
                <w:bCs/>
                <w:sz w:val="20"/>
                <w:szCs w:val="20"/>
                <w:lang w:val="nb-NO"/>
              </w:rPr>
            </w:pPr>
          </w:p>
        </w:tc>
      </w:tr>
      <w:tr w:rsidR="0068247D" w:rsidRPr="00EE0400" w14:paraId="7A055A39" w14:textId="77777777" w:rsidTr="0068247D">
        <w:trPr>
          <w:trHeight w:val="708"/>
        </w:trPr>
        <w:tc>
          <w:tcPr>
            <w:tcW w:w="1414" w:type="dxa"/>
            <w:shd w:val="clear" w:color="auto" w:fill="DEEAF6" w:themeFill="accent5" w:themeFillTint="33"/>
          </w:tcPr>
          <w:p w14:paraId="0D3B77BC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4.1</w:t>
            </w:r>
          </w:p>
        </w:tc>
        <w:tc>
          <w:tcPr>
            <w:tcW w:w="3072" w:type="dxa"/>
            <w:shd w:val="clear" w:color="auto" w:fill="DEEAF6" w:themeFill="accent5" w:themeFillTint="33"/>
          </w:tcPr>
          <w:p w14:paraId="3D6D1813" w14:textId="364FDAF5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  <w:t>Relevant og oppdatert informasjon til brukere og pårørende og allmenheten gjort tilgjengelig</w:t>
            </w:r>
            <w:r w:rsidR="00690CB1"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  <w:t>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1D417442" w14:textId="308FC372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unike treff på organisasjonens nettsted</w:t>
            </w:r>
            <w:r w:rsidR="00690CB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7315DC45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664C56C4" w14:textId="77777777" w:rsidR="0068247D" w:rsidRPr="00690CB1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28B02A2B" w14:textId="45E7BD0C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094E8B11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539BDAE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32E8006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9F2286B" w14:textId="77777777" w:rsidR="0068247D" w:rsidRPr="003645D0" w:rsidRDefault="0068247D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810AF6" w:rsidRPr="00EE0400" w14:paraId="4D46399C" w14:textId="77777777" w:rsidTr="0068247D">
        <w:trPr>
          <w:trHeight w:val="708"/>
        </w:trPr>
        <w:tc>
          <w:tcPr>
            <w:tcW w:w="1414" w:type="dxa"/>
            <w:vMerge w:val="restart"/>
            <w:shd w:val="clear" w:color="auto" w:fill="DEEAF6" w:themeFill="accent5" w:themeFillTint="33"/>
          </w:tcPr>
          <w:p w14:paraId="24BDADD8" w14:textId="609E0D61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</w:rPr>
            </w:pPr>
            <w:proofErr w:type="spellStart"/>
            <w:r>
              <w:rPr>
                <w:rFonts w:ascii="Avenir Next LT Pro" w:hAnsi="Avenir Next LT Pro" w:cs="Times New Roman"/>
                <w:sz w:val="20"/>
                <w:szCs w:val="20"/>
              </w:rPr>
              <w:lastRenderedPageBreak/>
              <w:t>Resultatmål</w:t>
            </w:r>
            <w:proofErr w:type="spellEnd"/>
            <w:r>
              <w:rPr>
                <w:rFonts w:ascii="Avenir Next LT Pro" w:hAnsi="Avenir Next LT Pro" w:cs="Times New Roman"/>
                <w:sz w:val="20"/>
                <w:szCs w:val="20"/>
              </w:rPr>
              <w:t xml:space="preserve"> 4.2</w:t>
            </w:r>
          </w:p>
        </w:tc>
        <w:tc>
          <w:tcPr>
            <w:tcW w:w="3072" w:type="dxa"/>
            <w:vMerge w:val="restart"/>
            <w:shd w:val="clear" w:color="auto" w:fill="DEEAF6" w:themeFill="accent5" w:themeFillTint="33"/>
          </w:tcPr>
          <w:p w14:paraId="1BC303F9" w14:textId="4285A2D2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Bruker- og pårørendeorganisasjonen har avholdt kompetansehevingstiltak* for andre enn bruker- og pårørenderepresentanter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237C2C65" w14:textId="47D4F106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andre enn bruker- og pårørenderepresentanter som gjennomfører kompetansehevingstiltak*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6DBFD65C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738F860C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641679A9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810AF6" w:rsidRPr="00EE0400" w14:paraId="51F8DBA7" w14:textId="77777777" w:rsidTr="00810AF6">
        <w:trPr>
          <w:trHeight w:val="1517"/>
        </w:trPr>
        <w:tc>
          <w:tcPr>
            <w:tcW w:w="1414" w:type="dxa"/>
            <w:vMerge/>
            <w:shd w:val="clear" w:color="auto" w:fill="DEEAF6" w:themeFill="accent5" w:themeFillTint="33"/>
          </w:tcPr>
          <w:p w14:paraId="2FBC20E0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072" w:type="dxa"/>
            <w:vMerge/>
            <w:shd w:val="clear" w:color="auto" w:fill="DEEAF6" w:themeFill="accent5" w:themeFillTint="33"/>
          </w:tcPr>
          <w:p w14:paraId="5F45F69B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2982" w:type="dxa"/>
            <w:shd w:val="clear" w:color="auto" w:fill="DEEAF6" w:themeFill="accent5" w:themeFillTint="33"/>
          </w:tcPr>
          <w:p w14:paraId="1A129238" w14:textId="38F73ECA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kompetansehevingstiltak* gjennomført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  <w:tc>
          <w:tcPr>
            <w:tcW w:w="1458" w:type="dxa"/>
          </w:tcPr>
          <w:p w14:paraId="55803620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32A943EA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229F3D21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  <w:tr w:rsidR="00810AF6" w:rsidRPr="00EE0400" w14:paraId="03D01FBC" w14:textId="77777777" w:rsidTr="00810AF6">
        <w:trPr>
          <w:trHeight w:val="983"/>
        </w:trPr>
        <w:tc>
          <w:tcPr>
            <w:tcW w:w="1414" w:type="dxa"/>
            <w:shd w:val="clear" w:color="auto" w:fill="DEEAF6" w:themeFill="accent5" w:themeFillTint="33"/>
          </w:tcPr>
          <w:p w14:paraId="3A63363E" w14:textId="6FA2558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003645D0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Resultatmål 4.</w:t>
            </w: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3</w:t>
            </w:r>
          </w:p>
        </w:tc>
        <w:tc>
          <w:tcPr>
            <w:tcW w:w="3072" w:type="dxa"/>
            <w:shd w:val="clear" w:color="auto" w:fill="DEEAF6" w:themeFill="accent5" w:themeFillTint="33"/>
          </w:tcPr>
          <w:p w14:paraId="0B24B3FB" w14:textId="6A9E9E4B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Individuelle oppfølgingstiltak gjennomført.</w:t>
            </w:r>
          </w:p>
        </w:tc>
        <w:tc>
          <w:tcPr>
            <w:tcW w:w="2982" w:type="dxa"/>
            <w:shd w:val="clear" w:color="auto" w:fill="DEEAF6" w:themeFill="accent5" w:themeFillTint="33"/>
          </w:tcPr>
          <w:p w14:paraId="1A19544A" w14:textId="16DDF06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Antall brukere og/eller pårørende som har mottatt individuell rådgiving.</w:t>
            </w:r>
          </w:p>
        </w:tc>
        <w:tc>
          <w:tcPr>
            <w:tcW w:w="1458" w:type="dxa"/>
          </w:tcPr>
          <w:p w14:paraId="58C365E3" w14:textId="7777777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</w:tcPr>
          <w:p w14:paraId="160C29E0" w14:textId="77777777" w:rsidR="00810AF6" w:rsidRPr="00690CB1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  <w:tc>
          <w:tcPr>
            <w:tcW w:w="3507" w:type="dxa"/>
          </w:tcPr>
          <w:p w14:paraId="5B28887C" w14:textId="19A97C24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D08E0C7" w14:textId="7777777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18A40312" w14:textId="7777777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71675AB" w14:textId="7777777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7EAFEDCF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E432825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167D65B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77971C66" w14:textId="77777777" w:rsidR="00810AF6" w:rsidRPr="00810AF6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3AD20CC" w14:textId="77777777" w:rsidR="00810AF6" w:rsidRPr="003645D0" w:rsidRDefault="00810AF6" w:rsidP="008950C9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</w:tbl>
    <w:p w14:paraId="6224423B" w14:textId="18E7F365" w:rsidR="00655897" w:rsidRPr="00021422" w:rsidRDefault="00005B15" w:rsidP="008950C9">
      <w:pPr>
        <w:pStyle w:val="TableParagraph"/>
        <w:spacing w:after="0" w:line="276" w:lineRule="auto"/>
        <w:rPr>
          <w:rFonts w:ascii="Avenir Next LT Pro" w:hAnsi="Avenir Next LT Pro"/>
          <w:sz w:val="16"/>
          <w:szCs w:val="16"/>
        </w:rPr>
        <w:sectPr w:rsidR="00655897" w:rsidRPr="00021422" w:rsidSect="00985A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DA75A5E">
        <w:rPr>
          <w:rFonts w:ascii="Avenir Next LT Pro" w:hAnsi="Avenir Next LT Pro"/>
          <w:sz w:val="16"/>
          <w:szCs w:val="16"/>
        </w:rPr>
        <w:t>* Kompetansehevingstiltak kan eksempelvis være kurs, foredrag, presentasjoner, gjennomførte møter et</w:t>
      </w:r>
      <w:r w:rsidR="00690CB1">
        <w:rPr>
          <w:rFonts w:ascii="Avenir Next LT Pro" w:hAnsi="Avenir Next LT Pro"/>
          <w:sz w:val="16"/>
          <w:szCs w:val="16"/>
        </w:rPr>
        <w:t>c.</w:t>
      </w:r>
    </w:p>
    <w:p w14:paraId="206BBCC8" w14:textId="0C0B3188" w:rsidR="00005B15" w:rsidRPr="00FC78B8" w:rsidRDefault="00005B15" w:rsidP="008950C9">
      <w:pPr>
        <w:spacing w:after="0"/>
        <w:rPr>
          <w:rFonts w:ascii="Avenir Next LT Pro" w:hAnsi="Avenir Next LT Pro" w:cstheme="minorHAnsi"/>
          <w:sz w:val="16"/>
          <w:szCs w:val="16"/>
        </w:rPr>
        <w:sectPr w:rsidR="00005B15" w:rsidRPr="00FC78B8" w:rsidSect="00985A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117A909" w14:textId="77777777" w:rsidR="00005B15" w:rsidRDefault="00005B15"/>
    <w:sectPr w:rsidR="00005B15" w:rsidSect="00005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CFC"/>
    <w:multiLevelType w:val="hybridMultilevel"/>
    <w:tmpl w:val="401E342C"/>
    <w:lvl w:ilvl="0" w:tplc="DD4C6E9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15"/>
    <w:rsid w:val="00005B15"/>
    <w:rsid w:val="00020594"/>
    <w:rsid w:val="0003602D"/>
    <w:rsid w:val="0004661C"/>
    <w:rsid w:val="001129A5"/>
    <w:rsid w:val="00227C7E"/>
    <w:rsid w:val="00257F18"/>
    <w:rsid w:val="003645D0"/>
    <w:rsid w:val="003A0078"/>
    <w:rsid w:val="00403EA4"/>
    <w:rsid w:val="004916C0"/>
    <w:rsid w:val="00616586"/>
    <w:rsid w:val="00655897"/>
    <w:rsid w:val="00674170"/>
    <w:rsid w:val="0068247D"/>
    <w:rsid w:val="00690CB1"/>
    <w:rsid w:val="006E282D"/>
    <w:rsid w:val="006F73FD"/>
    <w:rsid w:val="007063A3"/>
    <w:rsid w:val="00791270"/>
    <w:rsid w:val="00810AF6"/>
    <w:rsid w:val="008149ED"/>
    <w:rsid w:val="00822DC7"/>
    <w:rsid w:val="00892FA3"/>
    <w:rsid w:val="008950C9"/>
    <w:rsid w:val="00BB506D"/>
    <w:rsid w:val="00BC7D36"/>
    <w:rsid w:val="00C16435"/>
    <w:rsid w:val="00D175D0"/>
    <w:rsid w:val="00D476E6"/>
    <w:rsid w:val="00DD6B91"/>
    <w:rsid w:val="00DE0B92"/>
    <w:rsid w:val="00E223E3"/>
    <w:rsid w:val="00EF565D"/>
    <w:rsid w:val="00FB34BE"/>
    <w:rsid w:val="01F554C7"/>
    <w:rsid w:val="09E53446"/>
    <w:rsid w:val="0A2F42A7"/>
    <w:rsid w:val="0C466C8A"/>
    <w:rsid w:val="0DA75A5E"/>
    <w:rsid w:val="0FB572CB"/>
    <w:rsid w:val="10812BA7"/>
    <w:rsid w:val="13975204"/>
    <w:rsid w:val="13F46A16"/>
    <w:rsid w:val="199D5903"/>
    <w:rsid w:val="211D9F29"/>
    <w:rsid w:val="2422D96B"/>
    <w:rsid w:val="2571338A"/>
    <w:rsid w:val="28DE23FB"/>
    <w:rsid w:val="2B28136A"/>
    <w:rsid w:val="2FF39E22"/>
    <w:rsid w:val="388896EE"/>
    <w:rsid w:val="3C71ABAB"/>
    <w:rsid w:val="3E032A87"/>
    <w:rsid w:val="46DECA19"/>
    <w:rsid w:val="475CC8DF"/>
    <w:rsid w:val="4A759AD9"/>
    <w:rsid w:val="4D98C08A"/>
    <w:rsid w:val="50D0614C"/>
    <w:rsid w:val="54F26CD2"/>
    <w:rsid w:val="55A3D26F"/>
    <w:rsid w:val="573FA2D0"/>
    <w:rsid w:val="5DE0FF3D"/>
    <w:rsid w:val="63C23614"/>
    <w:rsid w:val="68306130"/>
    <w:rsid w:val="68C32E02"/>
    <w:rsid w:val="6B6801F2"/>
    <w:rsid w:val="6D4BD6AB"/>
    <w:rsid w:val="6F3953DA"/>
    <w:rsid w:val="7381D50A"/>
    <w:rsid w:val="75D50780"/>
    <w:rsid w:val="7644CDFB"/>
    <w:rsid w:val="77651EFD"/>
    <w:rsid w:val="7B0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4D6"/>
  <w15:chartTrackingRefBased/>
  <w15:docId w15:val="{2EA56B5F-9D01-4514-AC82-E84FD88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5B15"/>
    <w:pPr>
      <w:widowControl w:val="0"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B15"/>
    <w:pPr>
      <w:widowControl w:val="0"/>
      <w:spacing w:after="8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05B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05B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05B15"/>
    <w:rPr>
      <w:sz w:val="20"/>
      <w:szCs w:val="20"/>
    </w:rPr>
  </w:style>
  <w:style w:type="table" w:customStyle="1" w:styleId="Tabellrutenett1">
    <w:name w:val="Tabellrutenett1"/>
    <w:basedOn w:val="Vanligtabell"/>
    <w:next w:val="Tabellrutenett"/>
    <w:uiPriority w:val="39"/>
    <w:rsid w:val="000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B15"/>
    <w:pPr>
      <w:widowControl w:val="0"/>
      <w:spacing w:after="8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7958-541F-4307-95B8-6CAEC42E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558</Words>
  <Characters>2960</Characters>
  <Application>Microsoft Office Word</Application>
  <DocSecurity>4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Lauvås Korsåsen</dc:creator>
  <cp:keywords/>
  <dc:description/>
  <cp:lastModifiedBy>Tove Sivertsen</cp:lastModifiedBy>
  <cp:revision>2</cp:revision>
  <dcterms:created xsi:type="dcterms:W3CDTF">2023-10-25T08:17:00Z</dcterms:created>
  <dcterms:modified xsi:type="dcterms:W3CDTF">2023-10-25T08:17:00Z</dcterms:modified>
</cp:coreProperties>
</file>