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352" w:rsidRPr="007E5352" w:rsidRDefault="007E5352" w:rsidP="007E5352">
      <w:pPr>
        <w:keepNext/>
        <w:spacing w:before="100" w:after="100"/>
        <w:jc w:val="center"/>
        <w:outlineLvl w:val="3"/>
        <w:rPr>
          <w:b/>
          <w:snapToGrid w:val="0"/>
          <w:sz w:val="28"/>
        </w:rPr>
      </w:pPr>
      <w:r w:rsidRPr="007E5352">
        <w:rPr>
          <w:b/>
          <w:snapToGrid w:val="0"/>
          <w:sz w:val="28"/>
        </w:rPr>
        <w:t xml:space="preserve">Vedlegg III. Forhåndsvurdering av risiko for sykdom/skade på mennesker, dyr, planter eller miljø </w:t>
      </w:r>
      <w:r w:rsidRPr="007E5352">
        <w:rPr>
          <w:b/>
          <w:snapToGrid w:val="0"/>
          <w:sz w:val="28"/>
        </w:rPr>
        <w:br/>
      </w:r>
      <w:r w:rsidRPr="007E5352">
        <w:rPr>
          <w:b/>
          <w:snapToGrid w:val="0"/>
          <w:sz w:val="28"/>
        </w:rPr>
        <w:br/>
      </w:r>
    </w:p>
    <w:p w:rsidR="007E5352" w:rsidRPr="007E5352" w:rsidRDefault="007E5352" w:rsidP="007E5352">
      <w:r w:rsidRPr="007E5352">
        <w:rPr>
          <w:i/>
        </w:rPr>
        <w:t>Forhold som må vurderes:</w:t>
      </w:r>
      <w:r w:rsidRPr="007E5352">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a) </w:t>
            </w:r>
          </w:p>
        </w:tc>
        <w:tc>
          <w:tcPr>
            <w:tcW w:w="8986" w:type="dxa"/>
          </w:tcPr>
          <w:p w:rsidR="007E5352" w:rsidRPr="007E5352" w:rsidRDefault="007E5352" w:rsidP="007E5352">
            <w:r w:rsidRPr="007E5352">
              <w:t xml:space="preserve">Om genmodifiseringen vil føre til uttrykk av uønskede egenskaper (eks. </w:t>
            </w:r>
            <w:proofErr w:type="spellStart"/>
            <w:r w:rsidRPr="007E5352">
              <w:t>antibiotikaresistens</w:t>
            </w:r>
            <w:proofErr w:type="spellEnd"/>
            <w:r w:rsidRPr="007E5352">
              <w:t>, toksiner osv.)</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bookmarkStart w:id="0" w:name="_GoBack"/>
            <w:r w:rsidRPr="007E5352">
              <w:rPr>
                <w:i/>
                <w:noProof/>
              </w:rPr>
              <w:t> </w:t>
            </w:r>
            <w:r w:rsidRPr="007E5352">
              <w:rPr>
                <w:i/>
                <w:noProof/>
              </w:rPr>
              <w:t> </w:t>
            </w:r>
            <w:r w:rsidRPr="007E5352">
              <w:rPr>
                <w:i/>
                <w:noProof/>
              </w:rPr>
              <w:t> </w:t>
            </w:r>
            <w:r w:rsidRPr="007E5352">
              <w:rPr>
                <w:i/>
                <w:noProof/>
              </w:rPr>
              <w:t> </w:t>
            </w:r>
            <w:r w:rsidRPr="007E5352">
              <w:rPr>
                <w:i/>
                <w:noProof/>
              </w:rPr>
              <w:t> </w:t>
            </w:r>
            <w:bookmarkEnd w:id="0"/>
            <w:r w:rsidRPr="007E5352">
              <w:rPr>
                <w:i/>
              </w:rPr>
              <w:fldChar w:fldCharType="end"/>
            </w:r>
            <w:r w:rsidRPr="007E5352">
              <w:t xml:space="preserve"> </w:t>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b) </w:t>
            </w:r>
          </w:p>
        </w:tc>
        <w:tc>
          <w:tcPr>
            <w:tcW w:w="8986" w:type="dxa"/>
          </w:tcPr>
          <w:p w:rsidR="007E5352" w:rsidRPr="007E5352" w:rsidRDefault="007E5352" w:rsidP="007E5352">
            <w:r w:rsidRPr="007E5352">
              <w:t>Om planten er tilført egenskaper som kan gi endret mottakelighet for kjemikalier, biologiske agens eller andre kontrolltiltak (eks. antibiotika-, herbicidresistens)</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r w:rsidRPr="007E5352">
              <w:t xml:space="preserve"> </w:t>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c) </w:t>
            </w:r>
          </w:p>
        </w:tc>
        <w:tc>
          <w:tcPr>
            <w:tcW w:w="8986" w:type="dxa"/>
          </w:tcPr>
          <w:p w:rsidR="007E5352" w:rsidRPr="007E5352" w:rsidRDefault="007E5352" w:rsidP="007E5352">
            <w:r w:rsidRPr="007E5352">
              <w:t xml:space="preserve">Eksisterende metoder for påvisning, identifisering og overvåkning av </w:t>
            </w:r>
            <w:proofErr w:type="gramStart"/>
            <w:r w:rsidRPr="007E5352">
              <w:t>de</w:t>
            </w:r>
            <w:proofErr w:type="gramEnd"/>
            <w:r w:rsidRPr="007E5352">
              <w:t xml:space="preserve"> modifiserte plantene</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r w:rsidRPr="007E5352">
              <w:t xml:space="preserve"> </w:t>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d) </w:t>
            </w:r>
          </w:p>
        </w:tc>
        <w:tc>
          <w:tcPr>
            <w:tcW w:w="8986" w:type="dxa"/>
          </w:tcPr>
          <w:p w:rsidR="007E5352" w:rsidRPr="007E5352" w:rsidRDefault="007E5352" w:rsidP="007E5352">
            <w:r w:rsidRPr="007E5352">
              <w:t>Eksisterende teknikker som gjør det mulig å påvise overføring av det nye genmaterialet til andre organismer</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p>
        </w:tc>
      </w:tr>
    </w:tbl>
    <w:p w:rsidR="007E5352" w:rsidRPr="007E5352" w:rsidRDefault="007E5352" w:rsidP="007E5352">
      <w:pPr>
        <w:rPr>
          <w:i/>
        </w:rPr>
      </w:pPr>
    </w:p>
    <w:p w:rsidR="007E5352" w:rsidRPr="007E5352" w:rsidRDefault="007E5352" w:rsidP="007E5352">
      <w:r w:rsidRPr="007E5352">
        <w:rPr>
          <w:i/>
        </w:rPr>
        <w:t>Risiko for utendørs etablering og spredning av genmodifiserte planter</w:t>
      </w:r>
      <w:r w:rsidRPr="007E5352">
        <w:t xml:space="preserve"> </w:t>
      </w:r>
    </w:p>
    <w:p w:rsidR="007E5352" w:rsidRPr="007E5352" w:rsidRDefault="007E5352" w:rsidP="007E5352">
      <w:r w:rsidRPr="007E5352">
        <w:rPr>
          <w:i/>
        </w:rPr>
        <w:t>Forhold som må vurderes:</w:t>
      </w:r>
      <w:r w:rsidRPr="007E5352">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a) </w:t>
            </w:r>
          </w:p>
        </w:tc>
        <w:tc>
          <w:tcPr>
            <w:tcW w:w="8986" w:type="dxa"/>
          </w:tcPr>
          <w:p w:rsidR="007E5352" w:rsidRPr="007E5352" w:rsidRDefault="007E5352" w:rsidP="007E5352">
            <w:r w:rsidRPr="007E5352">
              <w:t>Overlevelsesevne i utendørs miljø (vekstbetingelser: næring, temperatur, lys osv.)</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r w:rsidRPr="007E5352">
              <w:t xml:space="preserve"> </w:t>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b) </w:t>
            </w:r>
          </w:p>
        </w:tc>
        <w:tc>
          <w:tcPr>
            <w:tcW w:w="8986" w:type="dxa"/>
          </w:tcPr>
          <w:p w:rsidR="007E5352" w:rsidRPr="007E5352" w:rsidRDefault="007E5352" w:rsidP="007E5352">
            <w:r w:rsidRPr="007E5352">
              <w:t xml:space="preserve">Reproduksjonsevne og mulighet for </w:t>
            </w:r>
            <w:proofErr w:type="spellStart"/>
            <w:r w:rsidRPr="007E5352">
              <w:t>genspredning</w:t>
            </w:r>
            <w:proofErr w:type="spellEnd"/>
            <w:r w:rsidRPr="007E5352">
              <w:t xml:space="preserve"> via kjønnet formering til nært beslektede arter eller planter av samme art</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c) </w:t>
            </w:r>
          </w:p>
        </w:tc>
        <w:tc>
          <w:tcPr>
            <w:tcW w:w="8986" w:type="dxa"/>
          </w:tcPr>
          <w:p w:rsidR="007E5352" w:rsidRPr="007E5352" w:rsidRDefault="007E5352" w:rsidP="007E5352">
            <w:r w:rsidRPr="007E5352">
              <w:t>Muligheter for horisontal genoverføring vurdert ut fra det innsatte genmaterialets natur</w:t>
            </w:r>
            <w:r w:rsidRPr="007E5352">
              <w:br/>
            </w:r>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p>
        </w:tc>
      </w:tr>
    </w:tbl>
    <w:p w:rsidR="007E5352" w:rsidRPr="007E5352" w:rsidRDefault="007E5352" w:rsidP="007E5352">
      <w:pPr>
        <w:rPr>
          <w:i/>
        </w:rPr>
      </w:pPr>
    </w:p>
    <w:p w:rsidR="007E5352" w:rsidRPr="007E5352" w:rsidRDefault="007E5352" w:rsidP="007E5352">
      <w:r w:rsidRPr="007E5352">
        <w:rPr>
          <w:i/>
        </w:rPr>
        <w:t>Risiko i landbruksmessig sammenheng</w:t>
      </w:r>
      <w:r w:rsidRPr="007E5352">
        <w:t xml:space="preserve"> </w:t>
      </w:r>
    </w:p>
    <w:p w:rsidR="007E5352" w:rsidRPr="007E5352" w:rsidRDefault="007E5352" w:rsidP="007E5352">
      <w:r w:rsidRPr="007E5352">
        <w:rPr>
          <w:i/>
        </w:rPr>
        <w:t>Forhold som må vurderes:</w:t>
      </w:r>
      <w:r w:rsidRPr="007E5352">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a) </w:t>
            </w:r>
          </w:p>
        </w:tc>
        <w:tc>
          <w:tcPr>
            <w:tcW w:w="8986" w:type="dxa"/>
          </w:tcPr>
          <w:p w:rsidR="007E5352" w:rsidRPr="007E5352" w:rsidRDefault="007E5352" w:rsidP="007E5352">
            <w:r w:rsidRPr="007E5352">
              <w:t>Den genmodifiserte plantens potensiale som ugress eller spredning av ugressegenskaper til andre planter</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r w:rsidRPr="007E5352">
              <w:t xml:space="preserve"> </w:t>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b) </w:t>
            </w:r>
          </w:p>
        </w:tc>
        <w:tc>
          <w:tcPr>
            <w:tcW w:w="8986" w:type="dxa"/>
          </w:tcPr>
          <w:p w:rsidR="007E5352" w:rsidRPr="007E5352" w:rsidRDefault="007E5352" w:rsidP="007E5352">
            <w:r w:rsidRPr="007E5352">
              <w:t>Om planten er oppført på karanteneliste</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c) </w:t>
            </w:r>
          </w:p>
        </w:tc>
        <w:tc>
          <w:tcPr>
            <w:tcW w:w="8986" w:type="dxa"/>
          </w:tcPr>
          <w:p w:rsidR="007E5352" w:rsidRPr="007E5352" w:rsidRDefault="007E5352" w:rsidP="007E5352">
            <w:r w:rsidRPr="007E5352">
              <w:t xml:space="preserve">Om plantematerialet innebærer risiko for spredning av </w:t>
            </w:r>
            <w:proofErr w:type="spellStart"/>
            <w:r w:rsidRPr="007E5352">
              <w:t>plantepatogener</w:t>
            </w:r>
            <w:proofErr w:type="spellEnd"/>
            <w:r w:rsidRPr="007E5352">
              <w:t>. Muligheter for interaksjoner med andre planter i miljøet (både kulturplanter og ville planter)</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7E5352" w:rsidRPr="007E5352" w:rsidTr="00F42BE8">
        <w:tblPrEx>
          <w:tblCellMar>
            <w:top w:w="0" w:type="dxa"/>
            <w:left w:w="0" w:type="dxa"/>
            <w:bottom w:w="0" w:type="dxa"/>
            <w:right w:w="0" w:type="dxa"/>
          </w:tblCellMar>
        </w:tblPrEx>
        <w:tc>
          <w:tcPr>
            <w:tcW w:w="374" w:type="dxa"/>
          </w:tcPr>
          <w:p w:rsidR="007E5352" w:rsidRPr="007E5352" w:rsidRDefault="007E5352" w:rsidP="007E5352">
            <w:pPr>
              <w:jc w:val="right"/>
            </w:pPr>
            <w:r w:rsidRPr="007E5352">
              <w:t xml:space="preserve">d) </w:t>
            </w:r>
          </w:p>
        </w:tc>
        <w:tc>
          <w:tcPr>
            <w:tcW w:w="8986" w:type="dxa"/>
          </w:tcPr>
          <w:p w:rsidR="007E5352" w:rsidRPr="007E5352" w:rsidRDefault="007E5352" w:rsidP="007E5352">
            <w:r w:rsidRPr="007E5352">
              <w:t xml:space="preserve">Vurderes ut fra følgende forhold: </w:t>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7E5352" w:rsidRPr="007E5352" w:rsidTr="00F42BE8">
        <w:tblPrEx>
          <w:tblCellMar>
            <w:top w:w="0" w:type="dxa"/>
            <w:left w:w="0" w:type="dxa"/>
            <w:bottom w:w="0" w:type="dxa"/>
            <w:right w:w="0" w:type="dxa"/>
          </w:tblCellMar>
        </w:tblPrEx>
        <w:tc>
          <w:tcPr>
            <w:tcW w:w="748" w:type="dxa"/>
          </w:tcPr>
          <w:p w:rsidR="007E5352" w:rsidRPr="007E5352" w:rsidRDefault="007E5352" w:rsidP="007E5352">
            <w:pPr>
              <w:jc w:val="right"/>
            </w:pPr>
            <w:r w:rsidRPr="007E5352">
              <w:t xml:space="preserve">- </w:t>
            </w:r>
          </w:p>
        </w:tc>
        <w:tc>
          <w:tcPr>
            <w:tcW w:w="8612" w:type="dxa"/>
          </w:tcPr>
          <w:p w:rsidR="007E5352" w:rsidRPr="007E5352" w:rsidRDefault="007E5352" w:rsidP="007E5352">
            <w:proofErr w:type="spellStart"/>
            <w:r w:rsidRPr="007E5352">
              <w:t>Inokulumets</w:t>
            </w:r>
            <w:proofErr w:type="spellEnd"/>
            <w:r w:rsidRPr="007E5352">
              <w:t xml:space="preserve"> tetthet </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7E5352" w:rsidRPr="007E5352" w:rsidTr="00F42BE8">
        <w:tblPrEx>
          <w:tblCellMar>
            <w:top w:w="0" w:type="dxa"/>
            <w:left w:w="0" w:type="dxa"/>
            <w:bottom w:w="0" w:type="dxa"/>
            <w:right w:w="0" w:type="dxa"/>
          </w:tblCellMar>
        </w:tblPrEx>
        <w:tc>
          <w:tcPr>
            <w:tcW w:w="748" w:type="dxa"/>
          </w:tcPr>
          <w:p w:rsidR="007E5352" w:rsidRPr="007E5352" w:rsidRDefault="007E5352" w:rsidP="007E5352">
            <w:pPr>
              <w:jc w:val="right"/>
            </w:pPr>
            <w:r w:rsidRPr="007E5352">
              <w:t xml:space="preserve">- </w:t>
            </w:r>
          </w:p>
        </w:tc>
        <w:tc>
          <w:tcPr>
            <w:tcW w:w="8612" w:type="dxa"/>
          </w:tcPr>
          <w:p w:rsidR="007E5352" w:rsidRPr="007E5352" w:rsidRDefault="007E5352" w:rsidP="007E5352">
            <w:r w:rsidRPr="007E5352">
              <w:t>Levedyktighet</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r w:rsidRPr="007E5352">
              <w:t xml:space="preserve"> </w:t>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7E5352" w:rsidRPr="007E5352" w:rsidTr="00F42BE8">
        <w:tblPrEx>
          <w:tblCellMar>
            <w:top w:w="0" w:type="dxa"/>
            <w:left w:w="0" w:type="dxa"/>
            <w:bottom w:w="0" w:type="dxa"/>
            <w:right w:w="0" w:type="dxa"/>
          </w:tblCellMar>
        </w:tblPrEx>
        <w:tc>
          <w:tcPr>
            <w:tcW w:w="748" w:type="dxa"/>
          </w:tcPr>
          <w:p w:rsidR="007E5352" w:rsidRPr="007E5352" w:rsidRDefault="007E5352" w:rsidP="007E5352">
            <w:pPr>
              <w:jc w:val="right"/>
            </w:pPr>
            <w:r w:rsidRPr="007E5352">
              <w:t xml:space="preserve">- </w:t>
            </w:r>
          </w:p>
        </w:tc>
        <w:tc>
          <w:tcPr>
            <w:tcW w:w="8612" w:type="dxa"/>
          </w:tcPr>
          <w:p w:rsidR="007E5352" w:rsidRPr="007E5352" w:rsidRDefault="007E5352" w:rsidP="007E5352">
            <w:r w:rsidRPr="007E5352">
              <w:t>Angrepsmåte</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r w:rsidRPr="007E5352">
              <w:t xml:space="preserve"> </w:t>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7E5352" w:rsidRPr="007E5352" w:rsidTr="00F42BE8">
        <w:tblPrEx>
          <w:tblCellMar>
            <w:top w:w="0" w:type="dxa"/>
            <w:left w:w="0" w:type="dxa"/>
            <w:bottom w:w="0" w:type="dxa"/>
            <w:right w:w="0" w:type="dxa"/>
          </w:tblCellMar>
        </w:tblPrEx>
        <w:tc>
          <w:tcPr>
            <w:tcW w:w="748" w:type="dxa"/>
          </w:tcPr>
          <w:p w:rsidR="007E5352" w:rsidRPr="007E5352" w:rsidRDefault="007E5352" w:rsidP="007E5352">
            <w:pPr>
              <w:jc w:val="right"/>
            </w:pPr>
            <w:r w:rsidRPr="007E5352">
              <w:t xml:space="preserve">- </w:t>
            </w:r>
          </w:p>
        </w:tc>
        <w:tc>
          <w:tcPr>
            <w:tcW w:w="8612" w:type="dxa"/>
          </w:tcPr>
          <w:p w:rsidR="007E5352" w:rsidRPr="007E5352" w:rsidRDefault="007E5352" w:rsidP="007E5352">
            <w:r w:rsidRPr="007E5352">
              <w:t>Vertsspekter/livssyklus</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r w:rsidRPr="007E5352">
              <w:t xml:space="preserve"> </w:t>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7E5352" w:rsidRPr="007E5352" w:rsidTr="00F42BE8">
        <w:tblPrEx>
          <w:tblCellMar>
            <w:top w:w="0" w:type="dxa"/>
            <w:left w:w="0" w:type="dxa"/>
            <w:bottom w:w="0" w:type="dxa"/>
            <w:right w:w="0" w:type="dxa"/>
          </w:tblCellMar>
        </w:tblPrEx>
        <w:tc>
          <w:tcPr>
            <w:tcW w:w="748" w:type="dxa"/>
          </w:tcPr>
          <w:p w:rsidR="007E5352" w:rsidRPr="007E5352" w:rsidRDefault="007E5352" w:rsidP="007E5352">
            <w:pPr>
              <w:jc w:val="right"/>
            </w:pPr>
            <w:r w:rsidRPr="007E5352">
              <w:t xml:space="preserve">- </w:t>
            </w:r>
          </w:p>
        </w:tc>
        <w:tc>
          <w:tcPr>
            <w:tcW w:w="8612" w:type="dxa"/>
          </w:tcPr>
          <w:p w:rsidR="007E5352" w:rsidRPr="007E5352" w:rsidRDefault="007E5352" w:rsidP="007E5352">
            <w:r w:rsidRPr="007E5352">
              <w:t xml:space="preserve">Miljøbetingelser for spredning </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p>
        </w:tc>
      </w:tr>
    </w:tbl>
    <w:p w:rsidR="007E5352" w:rsidRPr="007E5352" w:rsidRDefault="007E5352" w:rsidP="007E5352"/>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7E5352" w:rsidRPr="007E5352" w:rsidTr="00F42BE8">
        <w:tblPrEx>
          <w:tblCellMar>
            <w:top w:w="0" w:type="dxa"/>
            <w:left w:w="0" w:type="dxa"/>
            <w:bottom w:w="0" w:type="dxa"/>
            <w:right w:w="0" w:type="dxa"/>
          </w:tblCellMar>
        </w:tblPrEx>
        <w:tc>
          <w:tcPr>
            <w:tcW w:w="748" w:type="dxa"/>
          </w:tcPr>
          <w:p w:rsidR="007E5352" w:rsidRPr="007E5352" w:rsidRDefault="007E5352" w:rsidP="007E5352">
            <w:pPr>
              <w:jc w:val="right"/>
            </w:pPr>
            <w:r w:rsidRPr="007E5352">
              <w:t xml:space="preserve">- </w:t>
            </w:r>
          </w:p>
        </w:tc>
        <w:tc>
          <w:tcPr>
            <w:tcW w:w="8612" w:type="dxa"/>
          </w:tcPr>
          <w:p w:rsidR="007E5352" w:rsidRPr="007E5352" w:rsidRDefault="007E5352" w:rsidP="007E5352">
            <w:r w:rsidRPr="007E5352">
              <w:t>Virulens</w:t>
            </w:r>
          </w:p>
          <w:p w:rsidR="007E5352" w:rsidRPr="007E5352" w:rsidRDefault="007E5352" w:rsidP="007E5352">
            <w:r w:rsidRPr="007E5352">
              <w:rPr>
                <w:i/>
              </w:rPr>
              <w:fldChar w:fldCharType="begin">
                <w:ffData>
                  <w:name w:val="Tekst1"/>
                  <w:enabled/>
                  <w:calcOnExit w:val="0"/>
                  <w:textInput/>
                </w:ffData>
              </w:fldChar>
            </w:r>
            <w:r w:rsidRPr="007E5352">
              <w:rPr>
                <w:i/>
              </w:rPr>
              <w:instrText xml:space="preserve"> FORMTEXT </w:instrText>
            </w:r>
            <w:r w:rsidRPr="007E5352">
              <w:rPr>
                <w:i/>
              </w:rPr>
            </w:r>
            <w:r w:rsidRPr="007E5352">
              <w:rPr>
                <w:i/>
              </w:rPr>
              <w:fldChar w:fldCharType="separate"/>
            </w:r>
            <w:r w:rsidRPr="007E5352">
              <w:rPr>
                <w:i/>
                <w:noProof/>
              </w:rPr>
              <w:t> </w:t>
            </w:r>
            <w:r w:rsidRPr="007E5352">
              <w:rPr>
                <w:i/>
                <w:noProof/>
              </w:rPr>
              <w:t> </w:t>
            </w:r>
            <w:r w:rsidRPr="007E5352">
              <w:rPr>
                <w:i/>
                <w:noProof/>
              </w:rPr>
              <w:t> </w:t>
            </w:r>
            <w:r w:rsidRPr="007E5352">
              <w:rPr>
                <w:i/>
                <w:noProof/>
              </w:rPr>
              <w:t> </w:t>
            </w:r>
            <w:r w:rsidRPr="007E5352">
              <w:rPr>
                <w:i/>
                <w:noProof/>
              </w:rPr>
              <w:t> </w:t>
            </w:r>
            <w:r w:rsidRPr="007E5352">
              <w:rPr>
                <w:i/>
              </w:rPr>
              <w:fldChar w:fldCharType="end"/>
            </w:r>
            <w:r w:rsidRPr="007E5352">
              <w:t xml:space="preserve"> </w:t>
            </w:r>
          </w:p>
        </w:tc>
      </w:tr>
    </w:tbl>
    <w:p w:rsidR="007E5352" w:rsidRPr="007E5352" w:rsidRDefault="007E5352" w:rsidP="007E5352"/>
    <w:p w:rsidR="007E5352" w:rsidRPr="007E5352" w:rsidRDefault="007E5352" w:rsidP="007E5352">
      <w:r w:rsidRPr="007E5352">
        <w:t>Ved kombinasjonsbruk skal det vurderes spesielt om mikroorganismene utgjør en ytterligere risiko. Forhåndsvurderingen av risiko omfatter alle typer virksomhet, og skal legges ved søknad om godkjennelse. Godkjenningsmyndighetene kan innhente uttalelse fra andre berørte myndigheter der virksomhetens art krever det.</w:t>
      </w:r>
    </w:p>
    <w:sectPr w:rsidR="007E5352" w:rsidRPr="007E53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345" w:rsidRDefault="00A87345" w:rsidP="00A87345">
      <w:r>
        <w:separator/>
      </w:r>
    </w:p>
  </w:endnote>
  <w:endnote w:type="continuationSeparator" w:id="0">
    <w:p w:rsidR="00A87345" w:rsidRDefault="00A87345" w:rsidP="00A8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345" w:rsidRDefault="00A87345" w:rsidP="00A87345">
      <w:r>
        <w:separator/>
      </w:r>
    </w:p>
  </w:footnote>
  <w:footnote w:type="continuationSeparator" w:id="0">
    <w:p w:rsidR="00A87345" w:rsidRDefault="00A87345" w:rsidP="00A87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45" w:rsidRDefault="00A87345">
    <w:pPr>
      <w:pStyle w:val="Topptekst"/>
    </w:pPr>
  </w:p>
  <w:tbl>
    <w:tblPr>
      <w:tblW w:w="10031" w:type="dxa"/>
      <w:tblLayout w:type="fixed"/>
      <w:tblLook w:val="0000" w:firstRow="0" w:lastRow="0" w:firstColumn="0" w:lastColumn="0" w:noHBand="0" w:noVBand="0"/>
    </w:tblPr>
    <w:tblGrid>
      <w:gridCol w:w="5495"/>
      <w:gridCol w:w="4536"/>
    </w:tblGrid>
    <w:tr w:rsidR="00A87345" w:rsidRPr="00A87345" w:rsidTr="003C093D">
      <w:trPr>
        <w:trHeight w:val="1440"/>
      </w:trPr>
      <w:tc>
        <w:tcPr>
          <w:tcW w:w="5495" w:type="dxa"/>
        </w:tcPr>
        <w:p w:rsidR="00A87345" w:rsidRPr="00A87345" w:rsidRDefault="00A87345" w:rsidP="00A87345">
          <w:pPr>
            <w:tabs>
              <w:tab w:val="center" w:pos="4153"/>
              <w:tab w:val="right" w:pos="8306"/>
            </w:tabs>
            <w:rPr>
              <w:rFonts w:ascii="Arial" w:eastAsia="Times" w:hAnsi="Arial"/>
            </w:rPr>
          </w:pPr>
        </w:p>
      </w:tc>
      <w:tc>
        <w:tcPr>
          <w:tcW w:w="4536" w:type="dxa"/>
        </w:tcPr>
        <w:p w:rsidR="00A87345" w:rsidRPr="00A87345" w:rsidRDefault="00A87345" w:rsidP="00A87345">
          <w:pPr>
            <w:tabs>
              <w:tab w:val="center" w:pos="4153"/>
              <w:tab w:val="right" w:pos="8306"/>
            </w:tabs>
            <w:spacing w:before="200"/>
            <w:rPr>
              <w:rFonts w:ascii="Arial" w:eastAsia="Times" w:hAnsi="Arial"/>
            </w:rPr>
          </w:pPr>
          <w:r>
            <w:rPr>
              <w:rFonts w:ascii="Arial" w:eastAsia="Times" w:hAnsi="Arial"/>
              <w:noProof/>
            </w:rPr>
            <w:drawing>
              <wp:inline distT="0" distB="0" distL="0" distR="0" wp14:anchorId="685C2970" wp14:editId="32AE91F1">
                <wp:extent cx="1876425" cy="238125"/>
                <wp:effectExtent l="0" t="0" r="9525" b="9525"/>
                <wp:docPr id="1" name="Bilde 1" descr="Hdir_bakgrfil_BOKM_NY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ir_bakgrfil_BOKM_NY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238125"/>
                        </a:xfrm>
                        <a:prstGeom prst="rect">
                          <a:avLst/>
                        </a:prstGeom>
                        <a:noFill/>
                        <a:ln>
                          <a:noFill/>
                        </a:ln>
                      </pic:spPr>
                    </pic:pic>
                  </a:graphicData>
                </a:graphic>
              </wp:inline>
            </w:drawing>
          </w:r>
        </w:p>
      </w:tc>
    </w:tr>
  </w:tbl>
  <w:p w:rsidR="00A87345" w:rsidRDefault="00A87345" w:rsidP="00A87345">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c+z9nW3Z3ZgkE9ZzfxYW+SBV28c=" w:salt="Y+nPtoIcMd3e7JhGWMdzV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45"/>
    <w:rsid w:val="00201BDF"/>
    <w:rsid w:val="007E5352"/>
    <w:rsid w:val="009B3AD4"/>
    <w:rsid w:val="00A87345"/>
    <w:rsid w:val="00CC78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D4"/>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87345"/>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A87345"/>
  </w:style>
  <w:style w:type="paragraph" w:styleId="Bunntekst">
    <w:name w:val="footer"/>
    <w:basedOn w:val="Normal"/>
    <w:link w:val="BunntekstTegn"/>
    <w:uiPriority w:val="99"/>
    <w:unhideWhenUsed/>
    <w:rsid w:val="00A87345"/>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A87345"/>
  </w:style>
  <w:style w:type="paragraph" w:styleId="Bobletekst">
    <w:name w:val="Balloon Text"/>
    <w:basedOn w:val="Normal"/>
    <w:link w:val="BobletekstTegn"/>
    <w:uiPriority w:val="99"/>
    <w:semiHidden/>
    <w:unhideWhenUsed/>
    <w:rsid w:val="00A87345"/>
    <w:rPr>
      <w:rFonts w:ascii="Tahoma" w:eastAsiaTheme="minorHAnsi" w:hAnsi="Tahoma" w:cs="Tahoma"/>
      <w:sz w:val="16"/>
      <w:szCs w:val="16"/>
      <w:lang w:eastAsia="en-US"/>
    </w:rPr>
  </w:style>
  <w:style w:type="character" w:customStyle="1" w:styleId="BobletekstTegn">
    <w:name w:val="Bobletekst Tegn"/>
    <w:basedOn w:val="Standardskriftforavsnitt"/>
    <w:link w:val="Bobletekst"/>
    <w:uiPriority w:val="99"/>
    <w:semiHidden/>
    <w:rsid w:val="00A87345"/>
    <w:rPr>
      <w:rFonts w:ascii="Tahoma" w:hAnsi="Tahoma" w:cs="Tahoma"/>
      <w:sz w:val="16"/>
      <w:szCs w:val="16"/>
    </w:rPr>
  </w:style>
  <w:style w:type="paragraph" w:customStyle="1" w:styleId="H3">
    <w:name w:val="H3"/>
    <w:basedOn w:val="Normal"/>
    <w:next w:val="Normal"/>
    <w:rsid w:val="009B3AD4"/>
    <w:pPr>
      <w:keepNext/>
      <w:spacing w:before="100" w:after="100"/>
      <w:outlineLvl w:val="3"/>
    </w:pPr>
    <w:rPr>
      <w:b/>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D4"/>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87345"/>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A87345"/>
  </w:style>
  <w:style w:type="paragraph" w:styleId="Bunntekst">
    <w:name w:val="footer"/>
    <w:basedOn w:val="Normal"/>
    <w:link w:val="BunntekstTegn"/>
    <w:uiPriority w:val="99"/>
    <w:unhideWhenUsed/>
    <w:rsid w:val="00A87345"/>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A87345"/>
  </w:style>
  <w:style w:type="paragraph" w:styleId="Bobletekst">
    <w:name w:val="Balloon Text"/>
    <w:basedOn w:val="Normal"/>
    <w:link w:val="BobletekstTegn"/>
    <w:uiPriority w:val="99"/>
    <w:semiHidden/>
    <w:unhideWhenUsed/>
    <w:rsid w:val="00A87345"/>
    <w:rPr>
      <w:rFonts w:ascii="Tahoma" w:eastAsiaTheme="minorHAnsi" w:hAnsi="Tahoma" w:cs="Tahoma"/>
      <w:sz w:val="16"/>
      <w:szCs w:val="16"/>
      <w:lang w:eastAsia="en-US"/>
    </w:rPr>
  </w:style>
  <w:style w:type="character" w:customStyle="1" w:styleId="BobletekstTegn">
    <w:name w:val="Bobletekst Tegn"/>
    <w:basedOn w:val="Standardskriftforavsnitt"/>
    <w:link w:val="Bobletekst"/>
    <w:uiPriority w:val="99"/>
    <w:semiHidden/>
    <w:rsid w:val="00A87345"/>
    <w:rPr>
      <w:rFonts w:ascii="Tahoma" w:hAnsi="Tahoma" w:cs="Tahoma"/>
      <w:sz w:val="16"/>
      <w:szCs w:val="16"/>
    </w:rPr>
  </w:style>
  <w:style w:type="paragraph" w:customStyle="1" w:styleId="H3">
    <w:name w:val="H3"/>
    <w:basedOn w:val="Normal"/>
    <w:next w:val="Normal"/>
    <w:rsid w:val="009B3AD4"/>
    <w:pPr>
      <w:keepNext/>
      <w:spacing w:before="100" w:after="100"/>
      <w:outlineLvl w:val="3"/>
    </w:pPr>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0A63C3-2C31-4D81-A5A7-FF1E9804CB5E}"/>
</file>

<file path=customXml/itemProps2.xml><?xml version="1.0" encoding="utf-8"?>
<ds:datastoreItem xmlns:ds="http://schemas.openxmlformats.org/officeDocument/2006/customXml" ds:itemID="{82B726B4-EA4D-4E15-8372-46E825F84A7C}"/>
</file>

<file path=customXml/itemProps3.xml><?xml version="1.0" encoding="utf-8"?>
<ds:datastoreItem xmlns:ds="http://schemas.openxmlformats.org/officeDocument/2006/customXml" ds:itemID="{8883A581-E986-451A-8E4D-7595A25CAAB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1894</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Dalseg</dc:creator>
  <cp:lastModifiedBy>Rolf Dalseg</cp:lastModifiedBy>
  <cp:revision>3</cp:revision>
  <dcterms:created xsi:type="dcterms:W3CDTF">2015-11-03T10:12:00Z</dcterms:created>
  <dcterms:modified xsi:type="dcterms:W3CDTF">2015-11-03T10:14:00Z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