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BA" w:rsidRDefault="00624987">
      <w:r>
        <w:t xml:space="preserve">Denne malen kan være til hjelp når internkontrollsystemet skal lages. Legg gjerne ved </w:t>
      </w:r>
      <w:r w:rsidR="00E8268C">
        <w:t>relevante</w:t>
      </w:r>
      <w:r w:rsidR="00BC19EE">
        <w:t xml:space="preserve"> vedlegg, for eksempel ansatt</w:t>
      </w:r>
      <w:r>
        <w:t>lister</w:t>
      </w:r>
      <w:r w:rsidR="00E27D57">
        <w:t>, opplæringsoversikter mv. Overtredelser som skal forebygges</w:t>
      </w:r>
      <w:r>
        <w:t xml:space="preserve"> er rangert</w:t>
      </w:r>
      <w:r w:rsidR="00E27D57">
        <w:t xml:space="preserve"> etter alvorlighet, synliggjort ved henvisning til antall prikker et brudd normalt vil medføre etter prikksystemet som trer i kraft 1.1.2016.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10064"/>
      </w:tblGrid>
      <w:tr w:rsidR="0037491B" w:rsidRPr="001E1BBA" w:rsidTr="00E27D57">
        <w:tc>
          <w:tcPr>
            <w:tcW w:w="15701" w:type="dxa"/>
            <w:gridSpan w:val="3"/>
            <w:shd w:val="clear" w:color="auto" w:fill="365F91" w:themeFill="accent1" w:themeFillShade="BF"/>
          </w:tcPr>
          <w:p w:rsidR="006D0289" w:rsidRPr="00E8268C" w:rsidRDefault="00121E94" w:rsidP="006D0289">
            <w:pPr>
              <w:pStyle w:val="Overskrift1"/>
              <w:rPr>
                <w:i/>
                <w:color w:val="FFFFFF" w:themeColor="background1"/>
                <w:sz w:val="40"/>
                <w:szCs w:val="40"/>
              </w:rPr>
            </w:pPr>
            <w:r>
              <w:rPr>
                <w:color w:val="FFFFFF" w:themeColor="background1"/>
                <w:sz w:val="40"/>
                <w:szCs w:val="40"/>
              </w:rPr>
              <w:t>Internkontroll</w:t>
            </w:r>
            <w:r w:rsidR="0037491B" w:rsidRPr="00E27D57">
              <w:rPr>
                <w:color w:val="FFFFFF" w:themeColor="background1"/>
                <w:sz w:val="40"/>
                <w:szCs w:val="40"/>
              </w:rPr>
              <w:t xml:space="preserve"> </w:t>
            </w:r>
            <w:r>
              <w:rPr>
                <w:color w:val="FFFFFF" w:themeColor="background1"/>
                <w:sz w:val="40"/>
                <w:szCs w:val="40"/>
              </w:rPr>
              <w:t>for</w:t>
            </w:r>
            <w:bookmarkStart w:id="0" w:name="_GoBack"/>
            <w:bookmarkEnd w:id="0"/>
            <w:r w:rsidR="0037491B" w:rsidRPr="00E27D57">
              <w:rPr>
                <w:color w:val="FFFFFF" w:themeColor="background1"/>
                <w:sz w:val="40"/>
                <w:szCs w:val="40"/>
              </w:rPr>
              <w:t xml:space="preserve"> s</w:t>
            </w:r>
            <w:r w:rsidR="00057970">
              <w:rPr>
                <w:color w:val="FFFFFF" w:themeColor="background1"/>
                <w:sz w:val="40"/>
                <w:szCs w:val="40"/>
              </w:rPr>
              <w:t>algss</w:t>
            </w:r>
            <w:r w:rsidR="0037491B" w:rsidRPr="00E27D57">
              <w:rPr>
                <w:color w:val="FFFFFF" w:themeColor="background1"/>
                <w:sz w:val="40"/>
                <w:szCs w:val="40"/>
              </w:rPr>
              <w:t>ted</w:t>
            </w:r>
            <w:r w:rsidR="00E8268C">
              <w:rPr>
                <w:color w:val="FFFFFF" w:themeColor="background1"/>
                <w:sz w:val="40"/>
                <w:szCs w:val="40"/>
              </w:rPr>
              <w:t xml:space="preserve"> – </w:t>
            </w:r>
            <w:r w:rsidR="00E8268C">
              <w:rPr>
                <w:i/>
                <w:color w:val="FFFFFF" w:themeColor="background1"/>
                <w:sz w:val="40"/>
                <w:szCs w:val="40"/>
              </w:rPr>
              <w:t>(sett inn navn)</w:t>
            </w:r>
          </w:p>
          <w:p w:rsidR="006D0289" w:rsidRPr="006D0289" w:rsidRDefault="006D0289" w:rsidP="006D0289">
            <w:pPr>
              <w:jc w:val="center"/>
              <w:rPr>
                <w:sz w:val="36"/>
                <w:szCs w:val="36"/>
              </w:rPr>
            </w:pPr>
          </w:p>
        </w:tc>
      </w:tr>
      <w:tr w:rsidR="0037491B" w:rsidRPr="001E1BBA" w:rsidTr="00B05D24">
        <w:trPr>
          <w:trHeight w:val="585"/>
        </w:trPr>
        <w:tc>
          <w:tcPr>
            <w:tcW w:w="15701"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FF69B3">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 xml:space="preserve">som tildeles etter regler som trår i kraft 1.1.2016 </w:t>
            </w:r>
          </w:p>
        </w:tc>
        <w:tc>
          <w:tcPr>
            <w:tcW w:w="10064"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FF69B3">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057970" w:rsidP="001B4601">
            <w:r>
              <w:t>S</w:t>
            </w:r>
            <w:r w:rsidRPr="00057970">
              <w:t>alg</w:t>
            </w:r>
            <w:r>
              <w:t xml:space="preserve"> eller</w:t>
            </w:r>
            <w:r w:rsidRPr="00057970">
              <w:t xml:space="preserve"> utlevering til person som er under 18 år </w:t>
            </w:r>
            <w:r w:rsidR="006D0289">
              <w:t xml:space="preserve">- åtte prikker </w:t>
            </w:r>
          </w:p>
          <w:p w:rsidR="00DD2ED5" w:rsidRPr="001E1BBA" w:rsidRDefault="00DD2ED5" w:rsidP="001B4601"/>
        </w:tc>
        <w:tc>
          <w:tcPr>
            <w:tcW w:w="10064" w:type="dxa"/>
            <w:shd w:val="clear" w:color="auto" w:fill="auto"/>
          </w:tcPr>
          <w:p w:rsidR="00DD2ED5" w:rsidRPr="001E1BBA" w:rsidRDefault="00DD2ED5" w:rsidP="00DD2ED5">
            <w:r>
              <w:t xml:space="preserve">Utfordringer: </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Tiltak</w:t>
            </w:r>
            <w:r w:rsidR="00E8268C">
              <w:t>/rutiner</w:t>
            </w:r>
            <w:r>
              <w:t>:</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Ansvar:</w:t>
            </w:r>
          </w:p>
        </w:tc>
      </w:tr>
      <w:tr w:rsidR="00DD2ED5" w:rsidRPr="001E1BBA" w:rsidTr="00FF69B3">
        <w:trPr>
          <w:trHeight w:val="262"/>
        </w:trPr>
        <w:tc>
          <w:tcPr>
            <w:tcW w:w="1951" w:type="dxa"/>
            <w:vMerge w:val="restart"/>
          </w:tcPr>
          <w:p w:rsidR="00DD2ED5" w:rsidRPr="001E1BBA" w:rsidRDefault="00DD2ED5" w:rsidP="00F53702">
            <w:r>
              <w:t xml:space="preserve">AL § </w:t>
            </w:r>
            <w:r w:rsidR="00F53702">
              <w:t>3-9</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t>åtte prikker</w:t>
            </w:r>
          </w:p>
        </w:tc>
        <w:tc>
          <w:tcPr>
            <w:tcW w:w="10064" w:type="dxa"/>
            <w:shd w:val="clear" w:color="auto" w:fill="FFFFFF"/>
          </w:tcPr>
          <w:p w:rsidR="00DD2ED5" w:rsidRPr="001E1BBA" w:rsidRDefault="00DD2ED5" w:rsidP="001E1BBA">
            <w:r>
              <w:t>Utfordringer:</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Tiltak</w:t>
            </w:r>
            <w:r w:rsidR="00E8268C">
              <w:t>/rutiner</w:t>
            </w:r>
            <w:r>
              <w:t>:</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Ansvar:</w:t>
            </w:r>
          </w:p>
        </w:tc>
      </w:tr>
      <w:tr w:rsidR="003C7356" w:rsidRPr="001E1BBA" w:rsidTr="00FF69B3">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10064" w:type="dxa"/>
            <w:shd w:val="clear" w:color="auto" w:fill="FFFFFF"/>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5B5DE5">
            <w:r>
              <w:t>Ansvar:</w:t>
            </w:r>
          </w:p>
        </w:tc>
      </w:tr>
      <w:tr w:rsidR="003C7356" w:rsidRPr="001E1BBA" w:rsidTr="00FF69B3">
        <w:trPr>
          <w:trHeight w:val="567"/>
        </w:trPr>
        <w:tc>
          <w:tcPr>
            <w:tcW w:w="1951" w:type="dxa"/>
            <w:vMerge w:val="restart"/>
          </w:tcPr>
          <w:p w:rsidR="003C7356" w:rsidRPr="001E1BBA" w:rsidRDefault="003C7356" w:rsidP="00F53702">
            <w:r>
              <w:t xml:space="preserve">AF § </w:t>
            </w:r>
            <w:r w:rsidR="00F53702">
              <w:t>3-1</w:t>
            </w:r>
          </w:p>
        </w:tc>
        <w:tc>
          <w:tcPr>
            <w:tcW w:w="3686" w:type="dxa"/>
            <w:vMerge w:val="restart"/>
            <w:shd w:val="clear" w:color="auto" w:fill="FFFFFF"/>
          </w:tcPr>
          <w:p w:rsidR="003C7356" w:rsidRPr="001E1BBA" w:rsidRDefault="00F53702" w:rsidP="001E1BBA">
            <w:r>
              <w:t>S</w:t>
            </w:r>
            <w:r w:rsidRPr="00F53702">
              <w:t xml:space="preserve">alg og utlevering til person som er </w:t>
            </w:r>
            <w:r w:rsidRPr="00F53702">
              <w:lastRenderedPageBreak/>
              <w:t xml:space="preserve">åpenbart påvirket av rusmidler </w:t>
            </w:r>
            <w:r w:rsidR="006D0289">
              <w:t>– fire prikker</w:t>
            </w:r>
          </w:p>
          <w:p w:rsidR="003C7356" w:rsidRPr="001E1BBA" w:rsidRDefault="003C7356" w:rsidP="001E1BBA"/>
        </w:tc>
        <w:tc>
          <w:tcPr>
            <w:tcW w:w="10064" w:type="dxa"/>
            <w:shd w:val="clear" w:color="auto" w:fill="FFFFFF"/>
          </w:tcPr>
          <w:p w:rsidR="003C7356" w:rsidRPr="001E1BBA" w:rsidRDefault="003C7356" w:rsidP="00FF69B3">
            <w:r>
              <w:lastRenderedPageBreak/>
              <w:t>Utfordringer</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3C7356" w:rsidRDefault="003C7356" w:rsidP="005B5DE5">
            <w:r>
              <w:t>Tiltak</w:t>
            </w:r>
            <w:r w:rsidR="00E8268C">
              <w:t>/rutiner</w:t>
            </w:r>
            <w:r>
              <w:t>:</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FF69B3" w:rsidRDefault="003C7356" w:rsidP="005B5DE5">
            <w:r>
              <w:t>Ansvar:</w:t>
            </w:r>
          </w:p>
        </w:tc>
      </w:tr>
      <w:tr w:rsidR="003C7356" w:rsidRPr="001E1BBA" w:rsidTr="00FF69B3">
        <w:trPr>
          <w:trHeight w:val="337"/>
        </w:trPr>
        <w:tc>
          <w:tcPr>
            <w:tcW w:w="1951" w:type="dxa"/>
            <w:vMerge w:val="restart"/>
          </w:tcPr>
          <w:p w:rsidR="003C7356" w:rsidRPr="001E1BBA" w:rsidRDefault="003C7356" w:rsidP="00F53702">
            <w:r>
              <w:t xml:space="preserve">AL § </w:t>
            </w:r>
            <w:r w:rsidR="00F53702">
              <w:t>3-7</w:t>
            </w:r>
          </w:p>
        </w:tc>
        <w:tc>
          <w:tcPr>
            <w:tcW w:w="3686" w:type="dxa"/>
            <w:vMerge w:val="restart"/>
            <w:shd w:val="clear" w:color="auto" w:fill="auto"/>
          </w:tcPr>
          <w:p w:rsidR="003C7356" w:rsidRPr="001E1BBA" w:rsidRDefault="003C7356" w:rsidP="001E1BBA">
            <w:r w:rsidRPr="001E1BBA">
              <w:t xml:space="preserve">Brudd på </w:t>
            </w:r>
            <w:r w:rsidR="00247F62">
              <w:t>s</w:t>
            </w:r>
            <w:r w:rsidR="00F53702">
              <w:t>algs- og utleverings-</w:t>
            </w:r>
            <w:r w:rsidR="00247F62">
              <w:t>tidsbestemmelsene – fire prikker</w:t>
            </w:r>
          </w:p>
        </w:tc>
        <w:tc>
          <w:tcPr>
            <w:tcW w:w="10064" w:type="dxa"/>
            <w:shd w:val="clear" w:color="auto" w:fill="auto"/>
          </w:tcPr>
          <w:p w:rsidR="003C7356" w:rsidRPr="001E1BBA" w:rsidRDefault="003C7356" w:rsidP="005B5DE5">
            <w:r>
              <w:t>Utfordringer:</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Tiltak</w:t>
            </w:r>
            <w:r w:rsidR="00E8268C">
              <w:t>/rutiner</w:t>
            </w:r>
            <w:r>
              <w:t>:</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Ansvar:</w:t>
            </w:r>
          </w:p>
        </w:tc>
      </w:tr>
      <w:tr w:rsidR="003C7356" w:rsidRPr="001E1BBA" w:rsidTr="00FF69B3">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F53702">
            <w:r>
              <w:t>B</w:t>
            </w:r>
            <w:r w:rsidRPr="00247F62">
              <w:t>rudd på alderskravet til den som selger</w:t>
            </w:r>
            <w:r w:rsidR="00F53702">
              <w:t xml:space="preserve"> eller</w:t>
            </w:r>
            <w:r w:rsidRPr="00247F62">
              <w:t xml:space="preserve"> utleverer alkoholholdig drikk</w:t>
            </w:r>
            <w:r>
              <w:t xml:space="preserve"> – fire prikker</w:t>
            </w:r>
          </w:p>
        </w:tc>
        <w:tc>
          <w:tcPr>
            <w:tcW w:w="10064" w:type="dxa"/>
            <w:shd w:val="clear" w:color="auto" w:fill="auto"/>
          </w:tcPr>
          <w:p w:rsidR="003C7356" w:rsidRPr="001E1BBA" w:rsidRDefault="003C7356" w:rsidP="005B5DE5">
            <w:r>
              <w:t>Utfordringer:</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Tiltak</w:t>
            </w:r>
            <w:r w:rsidR="00E8268C">
              <w:t>/rutiner</w:t>
            </w:r>
            <w:r>
              <w:t>:</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Ansvar:</w:t>
            </w:r>
          </w:p>
        </w:tc>
      </w:tr>
      <w:tr w:rsidR="003C7356" w:rsidRPr="001E1BBA" w:rsidTr="00FF69B3">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5B5DE5">
            <w:r>
              <w:t>Ansvar:</w:t>
            </w:r>
          </w:p>
        </w:tc>
      </w:tr>
      <w:tr w:rsidR="003C7356" w:rsidRPr="001E1BBA" w:rsidTr="00FF69B3">
        <w:trPr>
          <w:trHeight w:val="371"/>
        </w:trPr>
        <w:tc>
          <w:tcPr>
            <w:tcW w:w="1951" w:type="dxa"/>
            <w:vMerge w:val="restart"/>
          </w:tcPr>
          <w:p w:rsidR="003C7356" w:rsidRDefault="003C7356" w:rsidP="00F53702">
            <w:r>
              <w:t xml:space="preserve">AF </w:t>
            </w:r>
            <w:proofErr w:type="spellStart"/>
            <w:r w:rsidR="00F53702">
              <w:t>kap</w:t>
            </w:r>
            <w:proofErr w:type="spellEnd"/>
            <w:r w:rsidR="00F53702">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Ansvar:</w:t>
            </w:r>
          </w:p>
        </w:tc>
      </w:tr>
      <w:tr w:rsidR="001B0B84" w:rsidRPr="001E1BBA" w:rsidTr="00FF69B3">
        <w:trPr>
          <w:trHeight w:val="384"/>
        </w:trPr>
        <w:tc>
          <w:tcPr>
            <w:tcW w:w="1951" w:type="dxa"/>
            <w:vMerge w:val="restart"/>
          </w:tcPr>
          <w:p w:rsidR="001B0B84" w:rsidRDefault="00F53702" w:rsidP="00F53702">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10064" w:type="dxa"/>
            <w:shd w:val="clear" w:color="auto" w:fill="auto"/>
          </w:tcPr>
          <w:p w:rsidR="001B0B84" w:rsidRPr="001E1BBA" w:rsidRDefault="001B0B84" w:rsidP="005B5DE5">
            <w:r>
              <w:t>Utfordringer:</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Tiltak</w:t>
            </w:r>
            <w:r w:rsidR="00E8268C">
              <w:t>/rutiner</w:t>
            </w:r>
            <w:r>
              <w:t>:</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Ansvar:</w:t>
            </w:r>
          </w:p>
        </w:tc>
      </w:tr>
      <w:tr w:rsidR="003C7356" w:rsidRPr="001E1BBA" w:rsidTr="00FF69B3">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p>
        </w:tc>
      </w:tr>
      <w:tr w:rsidR="00810542" w:rsidRPr="001E1BBA" w:rsidTr="00FF69B3">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14</w:t>
            </w:r>
          </w:p>
        </w:tc>
        <w:tc>
          <w:tcPr>
            <w:tcW w:w="3686" w:type="dxa"/>
            <w:vMerge w:val="restart"/>
            <w:shd w:val="clear" w:color="auto" w:fill="auto"/>
          </w:tcPr>
          <w:p w:rsidR="00810542" w:rsidRDefault="00810542" w:rsidP="00792865">
            <w:r>
              <w:t>B</w:t>
            </w:r>
            <w:r w:rsidRPr="00810542">
              <w:t xml:space="preserve">rudd på reklameforbudet </w:t>
            </w:r>
            <w:r>
              <w:t xml:space="preserve">- </w:t>
            </w:r>
            <w:r w:rsidRPr="000D113F">
              <w:t>én prikk</w:t>
            </w:r>
          </w:p>
          <w:p w:rsidR="00810542" w:rsidRPr="001E1BBA" w:rsidRDefault="00810542" w:rsidP="00792865"/>
        </w:tc>
        <w:tc>
          <w:tcPr>
            <w:tcW w:w="10064" w:type="dxa"/>
            <w:shd w:val="clear" w:color="auto" w:fill="auto"/>
          </w:tcPr>
          <w:p w:rsidR="00810542" w:rsidRPr="001E1BBA" w:rsidRDefault="00810542" w:rsidP="005B5DE5">
            <w:r>
              <w:t>Utfordringer:</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Tiltak</w:t>
            </w:r>
            <w:r w:rsidR="00E8268C">
              <w:t>/rutiner</w:t>
            </w:r>
            <w:r>
              <w:t>:</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Ansvar:</w:t>
            </w:r>
          </w:p>
        </w:tc>
      </w:tr>
      <w:tr w:rsidR="00810542" w:rsidRPr="001E1BBA" w:rsidTr="00FF69B3">
        <w:trPr>
          <w:trHeight w:val="272"/>
        </w:trPr>
        <w:tc>
          <w:tcPr>
            <w:tcW w:w="1951" w:type="dxa"/>
            <w:vMerge w:val="restart"/>
          </w:tcPr>
          <w:p w:rsidR="00810542" w:rsidRDefault="00810542" w:rsidP="00F53702">
            <w:r>
              <w:t xml:space="preserve">AL § </w:t>
            </w:r>
            <w:r w:rsidR="00F53702">
              <w:t>3-2</w:t>
            </w:r>
          </w:p>
        </w:tc>
        <w:tc>
          <w:tcPr>
            <w:tcW w:w="3686" w:type="dxa"/>
            <w:vMerge w:val="restart"/>
            <w:shd w:val="clear" w:color="auto" w:fill="auto"/>
          </w:tcPr>
          <w:p w:rsidR="00810542" w:rsidRPr="001E1BBA" w:rsidRDefault="00810542" w:rsidP="00B76291">
            <w:r w:rsidRPr="00810542">
              <w:t xml:space="preserve">brudd på vilkår i bevillingsvedtaket </w:t>
            </w:r>
            <w:r>
              <w:t xml:space="preserve">- </w:t>
            </w:r>
            <w:r w:rsidRPr="00810542">
              <w:t>én prikk</w:t>
            </w:r>
          </w:p>
        </w:tc>
        <w:tc>
          <w:tcPr>
            <w:tcW w:w="10064" w:type="dxa"/>
            <w:shd w:val="clear" w:color="auto" w:fill="auto"/>
          </w:tcPr>
          <w:p w:rsidR="00810542" w:rsidRPr="001E1BBA" w:rsidRDefault="00810542" w:rsidP="005B5DE5">
            <w:r>
              <w:t>Utfordringer: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Tiltak</w:t>
            </w:r>
            <w:r w:rsidR="00E8268C">
              <w:t>/rutiner</w:t>
            </w:r>
            <w:r>
              <w:t>:</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Ansvar:</w:t>
            </w:r>
          </w:p>
        </w:tc>
      </w:tr>
      <w:tr w:rsidR="00FF69B3" w:rsidRPr="001E1BBA" w:rsidTr="00FF69B3">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F53702">
            <w:r>
              <w:t>A</w:t>
            </w:r>
            <w:r w:rsidRPr="00810542">
              <w:t>ndre overtredelser som omfattes av alkoholloven § 1-8 første ledd, blant annet</w:t>
            </w:r>
            <w:r>
              <w:t xml:space="preserve"> </w:t>
            </w:r>
            <w:r w:rsidR="00F53702">
              <w:t>§ 3-1 sjette ledd</w:t>
            </w:r>
            <w:r>
              <w:t xml:space="preserve"> (krav om leverandør av alkohol) og spesielle forbud i alkoholloven kapittel 8</w:t>
            </w:r>
            <w:r w:rsidRPr="00810542">
              <w:t xml:space="preserve"> </w:t>
            </w:r>
            <w:r>
              <w:t>(bruk av alkohol som gevinst/premie, utdeling av alkohol i markedsføringsøyemed, innførsel/omsetning av alkohol over 60 volumprosent)</w:t>
            </w:r>
          </w:p>
        </w:tc>
        <w:tc>
          <w:tcPr>
            <w:tcW w:w="10064" w:type="dxa"/>
            <w:shd w:val="clear" w:color="auto" w:fill="auto"/>
          </w:tcPr>
          <w:p w:rsidR="00FF69B3" w:rsidRPr="001E1BBA" w:rsidRDefault="00FF69B3" w:rsidP="005B5DE5">
            <w:r>
              <w:t>Utfordringer:</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Tiltak</w:t>
            </w:r>
            <w:r w:rsidR="00E8268C">
              <w:t>/rutiner</w:t>
            </w:r>
            <w:r>
              <w:t>:</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Ansvar:</w:t>
            </w:r>
          </w:p>
        </w:tc>
      </w:tr>
      <w:tr w:rsidR="00810542" w:rsidRPr="001E1BBA" w:rsidTr="00FF69B3">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t>2</w:t>
            </w:r>
          </w:p>
        </w:tc>
        <w:tc>
          <w:tcPr>
            <w:tcW w:w="13750"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FF69B3">
        <w:tc>
          <w:tcPr>
            <w:tcW w:w="1951" w:type="dxa"/>
            <w:shd w:val="clear" w:color="auto" w:fill="EEECE1"/>
          </w:tcPr>
          <w:p w:rsidR="00810542" w:rsidRDefault="00810542" w:rsidP="001E1BBA"/>
        </w:tc>
        <w:tc>
          <w:tcPr>
            <w:tcW w:w="13750"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 xml:space="preserve">Virksomhetens opplæringsplan, herunder hvem som har ansvar for opplæring av ulike grupper ansatte, hva opplæringen skal inneholde, når opplæringen skal være gjennomført, hvordan gjennomført opplæring skal dokumenteres, mv. Eventuelle krav om kvalifikasjoner før eller etter </w:t>
            </w:r>
            <w:r w:rsidRPr="003E0BE5">
              <w:lastRenderedPageBreak/>
              <w:t>ansettelse (eks Kunnskapsprøve for styrer og stedfortreder, e-læringsprogram for ansatte på skjenkesteder, deltakelse på Ansvarlig Vertskap-kurs 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beskrivelse av hvilke endringer som er foretatt for å sikre at internkontrollen til enhver tid fungerer tilfredsstillende </w:t>
            </w:r>
          </w:p>
          <w:p w:rsidR="00810542" w:rsidRDefault="00810542" w:rsidP="00F612CE"/>
        </w:tc>
      </w:tr>
      <w:tr w:rsidR="00810542" w:rsidRPr="001E1BBA" w:rsidTr="00FF69B3">
        <w:trPr>
          <w:trHeight w:val="1510"/>
        </w:trPr>
        <w:tc>
          <w:tcPr>
            <w:tcW w:w="1951" w:type="dxa"/>
            <w:vMerge w:val="restart"/>
            <w:shd w:val="clear" w:color="auto" w:fill="auto"/>
          </w:tcPr>
          <w:p w:rsidR="00810542" w:rsidRDefault="00810542" w:rsidP="001E1BBA"/>
        </w:tc>
        <w:tc>
          <w:tcPr>
            <w:tcW w:w="13750"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b)</w:t>
            </w:r>
          </w:p>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c)</w:t>
            </w:r>
          </w:p>
        </w:tc>
      </w:tr>
      <w:tr w:rsidR="00810542" w:rsidRPr="001E1BBA" w:rsidTr="00FF69B3">
        <w:trPr>
          <w:trHeight w:val="1531"/>
        </w:trPr>
        <w:tc>
          <w:tcPr>
            <w:tcW w:w="1951" w:type="dxa"/>
            <w:shd w:val="clear" w:color="auto" w:fill="C2D69B" w:themeFill="accent3" w:themeFillTint="99"/>
          </w:tcPr>
          <w:p w:rsidR="00810542" w:rsidRPr="00FA1E8A" w:rsidRDefault="00810542" w:rsidP="00FA1E8A">
            <w:pPr>
              <w:pStyle w:val="Overskrift2"/>
              <w:rPr>
                <w:color w:val="002060"/>
              </w:rPr>
            </w:pPr>
            <w:r w:rsidRPr="00FA1E8A">
              <w:rPr>
                <w:color w:val="002060"/>
              </w:rPr>
              <w:t xml:space="preserve">3 </w:t>
            </w:r>
          </w:p>
        </w:tc>
        <w:tc>
          <w:tcPr>
            <w:tcW w:w="13750" w:type="dxa"/>
            <w:gridSpan w:val="2"/>
            <w:shd w:val="clear" w:color="auto" w:fill="C2D69B" w:themeFill="accent3" w:themeFillTint="99"/>
          </w:tcPr>
          <w:p w:rsidR="00810542" w:rsidRPr="00FA1E8A" w:rsidRDefault="00810542" w:rsidP="00FA1E8A">
            <w:pPr>
              <w:pStyle w:val="Overskrift2"/>
              <w:rPr>
                <w:color w:val="002060"/>
              </w:rPr>
            </w:pPr>
            <w:r>
              <w:rPr>
                <w:color w:val="002060"/>
              </w:rPr>
              <w:t>Eventuelle v</w:t>
            </w:r>
            <w:r w:rsidRPr="00FA1E8A">
              <w:rPr>
                <w:color w:val="002060"/>
              </w:rPr>
              <w:t xml:space="preserve">edlegg </w:t>
            </w:r>
          </w:p>
        </w:tc>
      </w:tr>
      <w:tr w:rsidR="00810542" w:rsidRPr="001E1BBA" w:rsidTr="00FF69B3">
        <w:trPr>
          <w:trHeight w:val="854"/>
        </w:trPr>
        <w:tc>
          <w:tcPr>
            <w:tcW w:w="1951" w:type="dxa"/>
            <w:shd w:val="clear" w:color="auto" w:fill="EAF1DD" w:themeFill="accent3" w:themeFillTint="33"/>
          </w:tcPr>
          <w:p w:rsidR="00810542" w:rsidRPr="001E1BBA" w:rsidRDefault="00810542" w:rsidP="001E1BBA"/>
        </w:tc>
        <w:tc>
          <w:tcPr>
            <w:tcW w:w="13750" w:type="dxa"/>
            <w:gridSpan w:val="2"/>
            <w:shd w:val="clear" w:color="auto" w:fill="EAF1DD" w:themeFill="accent3" w:themeFillTint="33"/>
          </w:tcPr>
          <w:p w:rsidR="00810542" w:rsidRDefault="00810542" w:rsidP="00FA1E8A">
            <w:r>
              <w:t xml:space="preserve">Liste over relevante vedlegg, eks: ansattlister, organisasjonskart, infomateriell, opplæringslister, oversikt over oppgavefordeling mv. </w:t>
            </w:r>
          </w:p>
        </w:tc>
      </w:tr>
      <w:tr w:rsidR="00810542" w:rsidRPr="001E1BBA" w:rsidTr="00FF69B3">
        <w:trPr>
          <w:trHeight w:val="1531"/>
        </w:trPr>
        <w:tc>
          <w:tcPr>
            <w:tcW w:w="1951" w:type="dxa"/>
            <w:shd w:val="clear" w:color="auto" w:fill="FFFFFF" w:themeFill="background1"/>
          </w:tcPr>
          <w:p w:rsidR="00810542" w:rsidRPr="001E1BBA" w:rsidRDefault="00810542" w:rsidP="001E1BBA"/>
        </w:tc>
        <w:tc>
          <w:tcPr>
            <w:tcW w:w="13750" w:type="dxa"/>
            <w:gridSpan w:val="2"/>
            <w:shd w:val="clear" w:color="auto" w:fill="FFFFFF" w:themeFill="background1"/>
          </w:tcPr>
          <w:p w:rsidR="00810542" w:rsidRDefault="00810542" w:rsidP="003E0BE5"/>
        </w:tc>
      </w:tr>
    </w:tbl>
    <w:p w:rsidR="001E1BBA" w:rsidRPr="001E1BBA" w:rsidRDefault="001E1BBA" w:rsidP="001E1BBA"/>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8">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7"/>
  </w:num>
  <w:num w:numId="2">
    <w:abstractNumId w:val="9"/>
  </w:num>
  <w:num w:numId="3">
    <w:abstractNumId w:val="10"/>
  </w:num>
  <w:num w:numId="4">
    <w:abstractNumId w:val="6"/>
  </w:num>
  <w:num w:numId="5">
    <w:abstractNumId w:val="8"/>
  </w:num>
  <w:num w:numId="6">
    <w:abstractNumId w:val="5"/>
  </w:num>
  <w:num w:numId="7">
    <w:abstractNumId w:val="1"/>
  </w:num>
  <w:num w:numId="8">
    <w:abstractNumId w:val="0"/>
  </w:num>
  <w:num w:numId="9">
    <w:abstractNumId w:val="3"/>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57970"/>
    <w:rsid w:val="000931E5"/>
    <w:rsid w:val="000A2D2E"/>
    <w:rsid w:val="000D113F"/>
    <w:rsid w:val="000E350F"/>
    <w:rsid w:val="00121E94"/>
    <w:rsid w:val="00124E6C"/>
    <w:rsid w:val="001B0B84"/>
    <w:rsid w:val="001B0F12"/>
    <w:rsid w:val="001B4601"/>
    <w:rsid w:val="001E1BBA"/>
    <w:rsid w:val="001F49DB"/>
    <w:rsid w:val="00226B39"/>
    <w:rsid w:val="00247F62"/>
    <w:rsid w:val="002C1400"/>
    <w:rsid w:val="002D0692"/>
    <w:rsid w:val="002E0304"/>
    <w:rsid w:val="002F7B5A"/>
    <w:rsid w:val="00326174"/>
    <w:rsid w:val="003571BB"/>
    <w:rsid w:val="003738BF"/>
    <w:rsid w:val="0037491B"/>
    <w:rsid w:val="003C350A"/>
    <w:rsid w:val="003C7356"/>
    <w:rsid w:val="003D78BA"/>
    <w:rsid w:val="003E0BE5"/>
    <w:rsid w:val="003F599A"/>
    <w:rsid w:val="00401716"/>
    <w:rsid w:val="00430354"/>
    <w:rsid w:val="00435023"/>
    <w:rsid w:val="00461E7D"/>
    <w:rsid w:val="004F2F66"/>
    <w:rsid w:val="00566EF7"/>
    <w:rsid w:val="00595D13"/>
    <w:rsid w:val="005C4FD0"/>
    <w:rsid w:val="005D601F"/>
    <w:rsid w:val="00624987"/>
    <w:rsid w:val="006642D3"/>
    <w:rsid w:val="00686F48"/>
    <w:rsid w:val="006A7CC2"/>
    <w:rsid w:val="006B2A5D"/>
    <w:rsid w:val="006D0289"/>
    <w:rsid w:val="006F411F"/>
    <w:rsid w:val="00706DDB"/>
    <w:rsid w:val="00792865"/>
    <w:rsid w:val="00810542"/>
    <w:rsid w:val="00881599"/>
    <w:rsid w:val="008A14BD"/>
    <w:rsid w:val="008B5ADD"/>
    <w:rsid w:val="008D48C9"/>
    <w:rsid w:val="008D5879"/>
    <w:rsid w:val="00922033"/>
    <w:rsid w:val="00962CC7"/>
    <w:rsid w:val="00983FA6"/>
    <w:rsid w:val="00997749"/>
    <w:rsid w:val="009E4EAE"/>
    <w:rsid w:val="00A90570"/>
    <w:rsid w:val="00A92F29"/>
    <w:rsid w:val="00AD373C"/>
    <w:rsid w:val="00B05D24"/>
    <w:rsid w:val="00B24A72"/>
    <w:rsid w:val="00B33BC5"/>
    <w:rsid w:val="00B612EC"/>
    <w:rsid w:val="00BB25BB"/>
    <w:rsid w:val="00BC19EE"/>
    <w:rsid w:val="00C918DF"/>
    <w:rsid w:val="00CA01EF"/>
    <w:rsid w:val="00D636FF"/>
    <w:rsid w:val="00D91F24"/>
    <w:rsid w:val="00DD2ED5"/>
    <w:rsid w:val="00E27D57"/>
    <w:rsid w:val="00E8268C"/>
    <w:rsid w:val="00EB541E"/>
    <w:rsid w:val="00EC0E15"/>
    <w:rsid w:val="00ED0CB8"/>
    <w:rsid w:val="00F0246A"/>
    <w:rsid w:val="00F424A4"/>
    <w:rsid w:val="00F53702"/>
    <w:rsid w:val="00F612CE"/>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016DB5-9C0A-49D9-9E7A-6385363E011C}"/>
</file>

<file path=customXml/itemProps2.xml><?xml version="1.0" encoding="utf-8"?>
<ds:datastoreItem xmlns:ds="http://schemas.openxmlformats.org/officeDocument/2006/customXml" ds:itemID="{E417DE2B-02FE-4F13-849D-D22D28158788}"/>
</file>

<file path=customXml/itemProps3.xml><?xml version="1.0" encoding="utf-8"?>
<ds:datastoreItem xmlns:ds="http://schemas.openxmlformats.org/officeDocument/2006/customXml" ds:itemID="{3C945294-CE57-4108-B907-FD6ADF90B7E4}"/>
</file>

<file path=customXml/itemProps4.xml><?xml version="1.0" encoding="utf-8"?>
<ds:datastoreItem xmlns:ds="http://schemas.openxmlformats.org/officeDocument/2006/customXml" ds:itemID="{6F0403FA-263C-416E-BF2E-3E04DB4F99E4}"/>
</file>

<file path=docProps/app.xml><?xml version="1.0" encoding="utf-8"?>
<Properties xmlns="http://schemas.openxmlformats.org/officeDocument/2006/extended-properties" xmlns:vt="http://schemas.openxmlformats.org/officeDocument/2006/docPropsVTypes">
  <Template>Normal</Template>
  <TotalTime>26</TotalTime>
  <Pages>5</Pages>
  <Words>614</Words>
  <Characters>3256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Solveig Haukenes Aase</cp:lastModifiedBy>
  <cp:revision>4</cp:revision>
  <cp:lastPrinted>2015-09-01T08:44:00Z</cp:lastPrinted>
  <dcterms:created xsi:type="dcterms:W3CDTF">2015-11-02T13:41:00Z</dcterms:created>
  <dcterms:modified xsi:type="dcterms:W3CDTF">2015-11-04T09:42:00Z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